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1F" w:rsidRDefault="00BA1C44">
      <w:pPr>
        <w:spacing w:before="0" w:after="0"/>
        <w:jc w:val="center"/>
        <w:rPr>
          <w:rFonts w:ascii="黑体" w:eastAsia="黑体" w:hAnsi="黑体"/>
          <w:sz w:val="44"/>
          <w:szCs w:val="44"/>
        </w:rPr>
      </w:pPr>
      <w:r>
        <w:rPr>
          <w:rFonts w:ascii="黑体" w:eastAsia="黑体" w:hAnsi="黑体" w:hint="eastAsia"/>
          <w:sz w:val="44"/>
          <w:szCs w:val="44"/>
        </w:rPr>
        <w:t>私募投资基金合同指引1号</w:t>
      </w:r>
    </w:p>
    <w:p w:rsidR="00375B1F" w:rsidRDefault="00BA1C44">
      <w:pPr>
        <w:spacing w:before="0" w:after="0"/>
        <w:jc w:val="center"/>
        <w:rPr>
          <w:rFonts w:ascii="黑体" w:eastAsia="黑体" w:hAnsi="黑体"/>
          <w:sz w:val="44"/>
          <w:szCs w:val="44"/>
        </w:rPr>
      </w:pPr>
      <w:r>
        <w:rPr>
          <w:rFonts w:ascii="黑体" w:eastAsia="黑体" w:hAnsi="黑体" w:hint="eastAsia"/>
          <w:sz w:val="44"/>
          <w:szCs w:val="44"/>
        </w:rPr>
        <w:t>（契约型私募基金合同内容与格式指引）</w:t>
      </w:r>
    </w:p>
    <w:p w:rsidR="00375B1F" w:rsidRDefault="00BA1C44">
      <w:pPr>
        <w:spacing w:before="0" w:after="0"/>
        <w:jc w:val="center"/>
        <w:rPr>
          <w:rFonts w:ascii="黑体" w:eastAsia="黑体" w:hAnsi="黑体"/>
          <w:sz w:val="44"/>
          <w:szCs w:val="44"/>
        </w:rPr>
      </w:pPr>
      <w:r>
        <w:rPr>
          <w:rFonts w:ascii="黑体" w:eastAsia="黑体" w:hAnsi="黑体" w:hint="eastAsia"/>
          <w:sz w:val="44"/>
          <w:szCs w:val="44"/>
        </w:rPr>
        <w:t>（征求意见稿）</w:t>
      </w:r>
    </w:p>
    <w:p w:rsidR="007357DA" w:rsidRDefault="00BA1C44">
      <w:pPr>
        <w:pStyle w:val="10"/>
        <w:rPr>
          <w:noProof/>
          <w:kern w:val="2"/>
          <w:sz w:val="21"/>
        </w:rPr>
      </w:pPr>
      <w:r>
        <w:rPr>
          <w:rFonts w:ascii="Times New Roman" w:eastAsia="仿宋_GB2312" w:hAnsi="Times New Roman" w:hint="eastAsia"/>
          <w:sz w:val="44"/>
          <w:szCs w:val="44"/>
        </w:rPr>
        <w:fldChar w:fldCharType="begin"/>
      </w:r>
      <w:r>
        <w:rPr>
          <w:rFonts w:ascii="Times New Roman" w:eastAsia="仿宋_GB2312" w:hAnsi="Times New Roman" w:hint="eastAsia"/>
          <w:sz w:val="44"/>
          <w:szCs w:val="44"/>
        </w:rPr>
        <w:instrText xml:space="preserve"> TOC \o "1-3" \h \z \u </w:instrText>
      </w:r>
      <w:r>
        <w:rPr>
          <w:rFonts w:ascii="Times New Roman" w:eastAsia="仿宋_GB2312" w:hAnsi="Times New Roman" w:hint="eastAsia"/>
          <w:sz w:val="44"/>
          <w:szCs w:val="44"/>
        </w:rPr>
        <w:fldChar w:fldCharType="separate"/>
      </w:r>
      <w:hyperlink w:anchor="_Toc438051747" w:history="1">
        <w:r w:rsidR="007357DA" w:rsidRPr="00DF54E2">
          <w:rPr>
            <w:rStyle w:val="ae"/>
            <w:rFonts w:eastAsia="黑体" w:hint="eastAsia"/>
            <w:noProof/>
            <w:snapToGrid w:val="0"/>
            <w:w w:val="0"/>
          </w:rPr>
          <w:t>第一章</w:t>
        </w:r>
        <w:r w:rsidR="007357DA">
          <w:rPr>
            <w:noProof/>
            <w:kern w:val="2"/>
            <w:sz w:val="21"/>
          </w:rPr>
          <w:tab/>
        </w:r>
        <w:r w:rsidR="007357DA" w:rsidRPr="00DF54E2">
          <w:rPr>
            <w:rStyle w:val="ae"/>
            <w:rFonts w:ascii="黑体" w:eastAsia="黑体" w:hAnsi="黑体" w:hint="eastAsia"/>
            <w:noProof/>
          </w:rPr>
          <w:t>总则</w:t>
        </w:r>
        <w:r w:rsidR="007357DA">
          <w:rPr>
            <w:noProof/>
            <w:webHidden/>
          </w:rPr>
          <w:tab/>
        </w:r>
        <w:r w:rsidR="007357DA">
          <w:rPr>
            <w:noProof/>
            <w:webHidden/>
          </w:rPr>
          <w:fldChar w:fldCharType="begin"/>
        </w:r>
        <w:r w:rsidR="007357DA">
          <w:rPr>
            <w:noProof/>
            <w:webHidden/>
          </w:rPr>
          <w:instrText xml:space="preserve"> PAGEREF _Toc438051747 \h </w:instrText>
        </w:r>
        <w:r w:rsidR="007357DA">
          <w:rPr>
            <w:noProof/>
            <w:webHidden/>
          </w:rPr>
        </w:r>
        <w:r w:rsidR="007357DA">
          <w:rPr>
            <w:noProof/>
            <w:webHidden/>
          </w:rPr>
          <w:fldChar w:fldCharType="separate"/>
        </w:r>
        <w:r w:rsidR="007357DA">
          <w:rPr>
            <w:noProof/>
            <w:webHidden/>
          </w:rPr>
          <w:t>1</w:t>
        </w:r>
        <w:r w:rsidR="007357DA">
          <w:rPr>
            <w:noProof/>
            <w:webHidden/>
          </w:rPr>
          <w:fldChar w:fldCharType="end"/>
        </w:r>
      </w:hyperlink>
    </w:p>
    <w:p w:rsidR="007357DA" w:rsidRDefault="007357DA">
      <w:pPr>
        <w:pStyle w:val="10"/>
        <w:rPr>
          <w:noProof/>
          <w:kern w:val="2"/>
          <w:sz w:val="21"/>
        </w:rPr>
      </w:pPr>
      <w:hyperlink w:anchor="_Toc438051748" w:history="1">
        <w:r w:rsidRPr="00DF54E2">
          <w:rPr>
            <w:rStyle w:val="ae"/>
            <w:rFonts w:eastAsia="黑体" w:hint="eastAsia"/>
            <w:noProof/>
            <w:snapToGrid w:val="0"/>
            <w:w w:val="0"/>
          </w:rPr>
          <w:t>第二章</w:t>
        </w:r>
        <w:r>
          <w:rPr>
            <w:noProof/>
            <w:kern w:val="2"/>
            <w:sz w:val="21"/>
          </w:rPr>
          <w:tab/>
        </w:r>
        <w:r w:rsidRPr="00DF54E2">
          <w:rPr>
            <w:rStyle w:val="ae"/>
            <w:rFonts w:ascii="黑体" w:eastAsia="黑体" w:hAnsi="黑体" w:hint="eastAsia"/>
            <w:noProof/>
          </w:rPr>
          <w:t>基金合同正文</w:t>
        </w:r>
        <w:r>
          <w:rPr>
            <w:noProof/>
            <w:webHidden/>
          </w:rPr>
          <w:tab/>
        </w:r>
        <w:r>
          <w:rPr>
            <w:noProof/>
            <w:webHidden/>
          </w:rPr>
          <w:fldChar w:fldCharType="begin"/>
        </w:r>
        <w:r>
          <w:rPr>
            <w:noProof/>
            <w:webHidden/>
          </w:rPr>
          <w:instrText xml:space="preserve"> PAGEREF _Toc438051748 \h </w:instrText>
        </w:r>
        <w:r>
          <w:rPr>
            <w:noProof/>
            <w:webHidden/>
          </w:rPr>
        </w:r>
        <w:r>
          <w:rPr>
            <w:noProof/>
            <w:webHidden/>
          </w:rPr>
          <w:fldChar w:fldCharType="separate"/>
        </w:r>
        <w:r>
          <w:rPr>
            <w:noProof/>
            <w:webHidden/>
          </w:rPr>
          <w:t>2</w:t>
        </w:r>
        <w:r>
          <w:rPr>
            <w:noProof/>
            <w:webHidden/>
          </w:rPr>
          <w:fldChar w:fldCharType="end"/>
        </w:r>
      </w:hyperlink>
    </w:p>
    <w:p w:rsidR="007357DA" w:rsidRDefault="007357DA">
      <w:pPr>
        <w:pStyle w:val="10"/>
        <w:rPr>
          <w:noProof/>
          <w:kern w:val="2"/>
          <w:sz w:val="21"/>
        </w:rPr>
      </w:pPr>
      <w:hyperlink w:anchor="_Toc438051749" w:history="1">
        <w:r w:rsidRPr="00DF54E2">
          <w:rPr>
            <w:rStyle w:val="ae"/>
            <w:rFonts w:hint="eastAsia"/>
            <w:noProof/>
          </w:rPr>
          <w:t>第一节</w:t>
        </w:r>
        <w:r>
          <w:rPr>
            <w:noProof/>
            <w:kern w:val="2"/>
            <w:sz w:val="21"/>
          </w:rPr>
          <w:tab/>
        </w:r>
        <w:r w:rsidRPr="00DF54E2">
          <w:rPr>
            <w:rStyle w:val="ae"/>
            <w:rFonts w:hint="eastAsia"/>
            <w:noProof/>
          </w:rPr>
          <w:t>前言</w:t>
        </w:r>
        <w:r>
          <w:rPr>
            <w:noProof/>
            <w:webHidden/>
          </w:rPr>
          <w:tab/>
        </w:r>
        <w:r>
          <w:rPr>
            <w:noProof/>
            <w:webHidden/>
          </w:rPr>
          <w:fldChar w:fldCharType="begin"/>
        </w:r>
        <w:r>
          <w:rPr>
            <w:noProof/>
            <w:webHidden/>
          </w:rPr>
          <w:instrText xml:space="preserve"> PAGEREF _Toc438051749 \h </w:instrText>
        </w:r>
        <w:r>
          <w:rPr>
            <w:noProof/>
            <w:webHidden/>
          </w:rPr>
        </w:r>
        <w:r>
          <w:rPr>
            <w:noProof/>
            <w:webHidden/>
          </w:rPr>
          <w:fldChar w:fldCharType="separate"/>
        </w:r>
        <w:r>
          <w:rPr>
            <w:noProof/>
            <w:webHidden/>
          </w:rPr>
          <w:t>2</w:t>
        </w:r>
        <w:r>
          <w:rPr>
            <w:noProof/>
            <w:webHidden/>
          </w:rPr>
          <w:fldChar w:fldCharType="end"/>
        </w:r>
      </w:hyperlink>
    </w:p>
    <w:p w:rsidR="007357DA" w:rsidRDefault="007357DA">
      <w:pPr>
        <w:pStyle w:val="10"/>
        <w:rPr>
          <w:noProof/>
          <w:kern w:val="2"/>
          <w:sz w:val="21"/>
        </w:rPr>
      </w:pPr>
      <w:hyperlink w:anchor="_Toc438051750" w:history="1">
        <w:r w:rsidRPr="00DF54E2">
          <w:rPr>
            <w:rStyle w:val="ae"/>
            <w:rFonts w:hint="eastAsia"/>
            <w:noProof/>
          </w:rPr>
          <w:t>第二节</w:t>
        </w:r>
        <w:r>
          <w:rPr>
            <w:noProof/>
            <w:kern w:val="2"/>
            <w:sz w:val="21"/>
          </w:rPr>
          <w:tab/>
        </w:r>
        <w:r w:rsidRPr="00DF54E2">
          <w:rPr>
            <w:rStyle w:val="ae"/>
            <w:rFonts w:hint="eastAsia"/>
            <w:noProof/>
          </w:rPr>
          <w:t>释义</w:t>
        </w:r>
        <w:r>
          <w:rPr>
            <w:noProof/>
            <w:webHidden/>
          </w:rPr>
          <w:tab/>
        </w:r>
        <w:r>
          <w:rPr>
            <w:noProof/>
            <w:webHidden/>
          </w:rPr>
          <w:fldChar w:fldCharType="begin"/>
        </w:r>
        <w:r>
          <w:rPr>
            <w:noProof/>
            <w:webHidden/>
          </w:rPr>
          <w:instrText xml:space="preserve"> PAGEREF _Toc438051750 \h </w:instrText>
        </w:r>
        <w:r>
          <w:rPr>
            <w:noProof/>
            <w:webHidden/>
          </w:rPr>
        </w:r>
        <w:r>
          <w:rPr>
            <w:noProof/>
            <w:webHidden/>
          </w:rPr>
          <w:fldChar w:fldCharType="separate"/>
        </w:r>
        <w:r>
          <w:rPr>
            <w:noProof/>
            <w:webHidden/>
          </w:rPr>
          <w:t>3</w:t>
        </w:r>
        <w:r>
          <w:rPr>
            <w:noProof/>
            <w:webHidden/>
          </w:rPr>
          <w:fldChar w:fldCharType="end"/>
        </w:r>
      </w:hyperlink>
    </w:p>
    <w:p w:rsidR="007357DA" w:rsidRDefault="007357DA">
      <w:pPr>
        <w:pStyle w:val="10"/>
        <w:rPr>
          <w:noProof/>
          <w:kern w:val="2"/>
          <w:sz w:val="21"/>
        </w:rPr>
      </w:pPr>
      <w:hyperlink w:anchor="_Toc438051751" w:history="1">
        <w:r w:rsidRPr="00DF54E2">
          <w:rPr>
            <w:rStyle w:val="ae"/>
            <w:rFonts w:hint="eastAsia"/>
            <w:noProof/>
          </w:rPr>
          <w:t>第三节</w:t>
        </w:r>
        <w:r>
          <w:rPr>
            <w:noProof/>
            <w:kern w:val="2"/>
            <w:sz w:val="21"/>
          </w:rPr>
          <w:tab/>
        </w:r>
        <w:r w:rsidRPr="00DF54E2">
          <w:rPr>
            <w:rStyle w:val="ae"/>
            <w:rFonts w:hint="eastAsia"/>
            <w:noProof/>
          </w:rPr>
          <w:t>声明与承诺</w:t>
        </w:r>
        <w:r>
          <w:rPr>
            <w:noProof/>
            <w:webHidden/>
          </w:rPr>
          <w:tab/>
        </w:r>
        <w:r>
          <w:rPr>
            <w:noProof/>
            <w:webHidden/>
          </w:rPr>
          <w:fldChar w:fldCharType="begin"/>
        </w:r>
        <w:r>
          <w:rPr>
            <w:noProof/>
            <w:webHidden/>
          </w:rPr>
          <w:instrText xml:space="preserve"> PAGEREF _Toc438051751 \h </w:instrText>
        </w:r>
        <w:r>
          <w:rPr>
            <w:noProof/>
            <w:webHidden/>
          </w:rPr>
        </w:r>
        <w:r>
          <w:rPr>
            <w:noProof/>
            <w:webHidden/>
          </w:rPr>
          <w:fldChar w:fldCharType="separate"/>
        </w:r>
        <w:r>
          <w:rPr>
            <w:noProof/>
            <w:webHidden/>
          </w:rPr>
          <w:t>3</w:t>
        </w:r>
        <w:r>
          <w:rPr>
            <w:noProof/>
            <w:webHidden/>
          </w:rPr>
          <w:fldChar w:fldCharType="end"/>
        </w:r>
      </w:hyperlink>
    </w:p>
    <w:p w:rsidR="007357DA" w:rsidRDefault="007357DA">
      <w:pPr>
        <w:pStyle w:val="10"/>
        <w:rPr>
          <w:noProof/>
          <w:kern w:val="2"/>
          <w:sz w:val="21"/>
        </w:rPr>
      </w:pPr>
      <w:hyperlink w:anchor="_Toc438051752" w:history="1">
        <w:r w:rsidRPr="00DF54E2">
          <w:rPr>
            <w:rStyle w:val="ae"/>
            <w:rFonts w:hint="eastAsia"/>
            <w:noProof/>
          </w:rPr>
          <w:t>第四节</w:t>
        </w:r>
        <w:r>
          <w:rPr>
            <w:noProof/>
            <w:kern w:val="2"/>
            <w:sz w:val="21"/>
          </w:rPr>
          <w:tab/>
        </w:r>
        <w:r w:rsidRPr="00DF54E2">
          <w:rPr>
            <w:rStyle w:val="ae"/>
            <w:rFonts w:hint="eastAsia"/>
            <w:noProof/>
          </w:rPr>
          <w:t>私募基金的基本情况</w:t>
        </w:r>
        <w:r>
          <w:rPr>
            <w:noProof/>
            <w:webHidden/>
          </w:rPr>
          <w:tab/>
        </w:r>
        <w:r>
          <w:rPr>
            <w:noProof/>
            <w:webHidden/>
          </w:rPr>
          <w:fldChar w:fldCharType="begin"/>
        </w:r>
        <w:r>
          <w:rPr>
            <w:noProof/>
            <w:webHidden/>
          </w:rPr>
          <w:instrText xml:space="preserve"> PAGEREF _Toc438051752 \h </w:instrText>
        </w:r>
        <w:r>
          <w:rPr>
            <w:noProof/>
            <w:webHidden/>
          </w:rPr>
        </w:r>
        <w:r>
          <w:rPr>
            <w:noProof/>
            <w:webHidden/>
          </w:rPr>
          <w:fldChar w:fldCharType="separate"/>
        </w:r>
        <w:r>
          <w:rPr>
            <w:noProof/>
            <w:webHidden/>
          </w:rPr>
          <w:t>4</w:t>
        </w:r>
        <w:r>
          <w:rPr>
            <w:noProof/>
            <w:webHidden/>
          </w:rPr>
          <w:fldChar w:fldCharType="end"/>
        </w:r>
      </w:hyperlink>
    </w:p>
    <w:p w:rsidR="007357DA" w:rsidRDefault="007357DA">
      <w:pPr>
        <w:pStyle w:val="10"/>
        <w:rPr>
          <w:noProof/>
          <w:kern w:val="2"/>
          <w:sz w:val="21"/>
        </w:rPr>
      </w:pPr>
      <w:hyperlink w:anchor="_Toc438051753" w:history="1">
        <w:r w:rsidRPr="00DF54E2">
          <w:rPr>
            <w:rStyle w:val="ae"/>
            <w:rFonts w:hint="eastAsia"/>
            <w:noProof/>
          </w:rPr>
          <w:t>第五节</w:t>
        </w:r>
        <w:r>
          <w:rPr>
            <w:noProof/>
            <w:kern w:val="2"/>
            <w:sz w:val="21"/>
          </w:rPr>
          <w:tab/>
        </w:r>
        <w:r w:rsidRPr="00DF54E2">
          <w:rPr>
            <w:rStyle w:val="ae"/>
            <w:rFonts w:hint="eastAsia"/>
            <w:noProof/>
          </w:rPr>
          <w:t>私募基金的募集</w:t>
        </w:r>
        <w:r>
          <w:rPr>
            <w:noProof/>
            <w:webHidden/>
          </w:rPr>
          <w:tab/>
        </w:r>
        <w:r>
          <w:rPr>
            <w:noProof/>
            <w:webHidden/>
          </w:rPr>
          <w:fldChar w:fldCharType="begin"/>
        </w:r>
        <w:r>
          <w:rPr>
            <w:noProof/>
            <w:webHidden/>
          </w:rPr>
          <w:instrText xml:space="preserve"> PAGEREF _Toc438051753 \h </w:instrText>
        </w:r>
        <w:r>
          <w:rPr>
            <w:noProof/>
            <w:webHidden/>
          </w:rPr>
        </w:r>
        <w:r>
          <w:rPr>
            <w:noProof/>
            <w:webHidden/>
          </w:rPr>
          <w:fldChar w:fldCharType="separate"/>
        </w:r>
        <w:r>
          <w:rPr>
            <w:noProof/>
            <w:webHidden/>
          </w:rPr>
          <w:t>5</w:t>
        </w:r>
        <w:r>
          <w:rPr>
            <w:noProof/>
            <w:webHidden/>
          </w:rPr>
          <w:fldChar w:fldCharType="end"/>
        </w:r>
      </w:hyperlink>
    </w:p>
    <w:p w:rsidR="007357DA" w:rsidRDefault="007357DA">
      <w:pPr>
        <w:pStyle w:val="10"/>
        <w:rPr>
          <w:noProof/>
          <w:kern w:val="2"/>
          <w:sz w:val="21"/>
        </w:rPr>
      </w:pPr>
      <w:hyperlink w:anchor="_Toc438051757" w:history="1">
        <w:r w:rsidRPr="00DF54E2">
          <w:rPr>
            <w:rStyle w:val="ae"/>
            <w:rFonts w:hint="eastAsia"/>
            <w:noProof/>
          </w:rPr>
          <w:t>第六节</w:t>
        </w:r>
        <w:r>
          <w:rPr>
            <w:noProof/>
            <w:kern w:val="2"/>
            <w:sz w:val="21"/>
          </w:rPr>
          <w:tab/>
        </w:r>
        <w:r w:rsidRPr="00DF54E2">
          <w:rPr>
            <w:rStyle w:val="ae"/>
            <w:rFonts w:hint="eastAsia"/>
            <w:noProof/>
          </w:rPr>
          <w:t>私募基金的成立与备案</w:t>
        </w:r>
        <w:r>
          <w:rPr>
            <w:noProof/>
            <w:webHidden/>
          </w:rPr>
          <w:tab/>
        </w:r>
        <w:r>
          <w:rPr>
            <w:noProof/>
            <w:webHidden/>
          </w:rPr>
          <w:fldChar w:fldCharType="begin"/>
        </w:r>
        <w:r>
          <w:rPr>
            <w:noProof/>
            <w:webHidden/>
          </w:rPr>
          <w:instrText xml:space="preserve"> PAGEREF _Toc438051757 \h </w:instrText>
        </w:r>
        <w:r>
          <w:rPr>
            <w:noProof/>
            <w:webHidden/>
          </w:rPr>
        </w:r>
        <w:r>
          <w:rPr>
            <w:noProof/>
            <w:webHidden/>
          </w:rPr>
          <w:fldChar w:fldCharType="separate"/>
        </w:r>
        <w:r>
          <w:rPr>
            <w:noProof/>
            <w:webHidden/>
          </w:rPr>
          <w:t>5</w:t>
        </w:r>
        <w:r>
          <w:rPr>
            <w:noProof/>
            <w:webHidden/>
          </w:rPr>
          <w:fldChar w:fldCharType="end"/>
        </w:r>
      </w:hyperlink>
    </w:p>
    <w:p w:rsidR="007357DA" w:rsidRDefault="007357DA">
      <w:pPr>
        <w:pStyle w:val="10"/>
        <w:rPr>
          <w:noProof/>
          <w:kern w:val="2"/>
          <w:sz w:val="21"/>
        </w:rPr>
      </w:pPr>
      <w:hyperlink w:anchor="_Toc438051758" w:history="1">
        <w:r w:rsidRPr="00DF54E2">
          <w:rPr>
            <w:rStyle w:val="ae"/>
            <w:rFonts w:hint="eastAsia"/>
            <w:noProof/>
          </w:rPr>
          <w:t>第七节</w:t>
        </w:r>
        <w:r>
          <w:rPr>
            <w:noProof/>
            <w:kern w:val="2"/>
            <w:sz w:val="21"/>
          </w:rPr>
          <w:tab/>
        </w:r>
        <w:r w:rsidRPr="00DF54E2">
          <w:rPr>
            <w:rStyle w:val="ae"/>
            <w:rFonts w:hint="eastAsia"/>
            <w:noProof/>
          </w:rPr>
          <w:t>私募基金的申购、赎回与转让</w:t>
        </w:r>
        <w:r>
          <w:rPr>
            <w:noProof/>
            <w:webHidden/>
          </w:rPr>
          <w:tab/>
        </w:r>
        <w:r>
          <w:rPr>
            <w:noProof/>
            <w:webHidden/>
          </w:rPr>
          <w:fldChar w:fldCharType="begin"/>
        </w:r>
        <w:r>
          <w:rPr>
            <w:noProof/>
            <w:webHidden/>
          </w:rPr>
          <w:instrText xml:space="preserve"> PAGEREF _Toc438051758 \h </w:instrText>
        </w:r>
        <w:r>
          <w:rPr>
            <w:noProof/>
            <w:webHidden/>
          </w:rPr>
        </w:r>
        <w:r>
          <w:rPr>
            <w:noProof/>
            <w:webHidden/>
          </w:rPr>
          <w:fldChar w:fldCharType="separate"/>
        </w:r>
        <w:r>
          <w:rPr>
            <w:noProof/>
            <w:webHidden/>
          </w:rPr>
          <w:t>6</w:t>
        </w:r>
        <w:r>
          <w:rPr>
            <w:noProof/>
            <w:webHidden/>
          </w:rPr>
          <w:fldChar w:fldCharType="end"/>
        </w:r>
      </w:hyperlink>
    </w:p>
    <w:p w:rsidR="007357DA" w:rsidRDefault="007357DA">
      <w:pPr>
        <w:pStyle w:val="10"/>
        <w:rPr>
          <w:noProof/>
          <w:kern w:val="2"/>
          <w:sz w:val="21"/>
        </w:rPr>
      </w:pPr>
      <w:hyperlink w:anchor="_Toc438051759" w:history="1">
        <w:r w:rsidRPr="00DF54E2">
          <w:rPr>
            <w:rStyle w:val="ae"/>
            <w:rFonts w:hint="eastAsia"/>
            <w:noProof/>
          </w:rPr>
          <w:t>第八节</w:t>
        </w:r>
        <w:r>
          <w:rPr>
            <w:noProof/>
            <w:kern w:val="2"/>
            <w:sz w:val="21"/>
          </w:rPr>
          <w:tab/>
        </w:r>
        <w:r w:rsidRPr="00DF54E2">
          <w:rPr>
            <w:rStyle w:val="ae"/>
            <w:rFonts w:hint="eastAsia"/>
            <w:noProof/>
          </w:rPr>
          <w:t>当事人及权利义务</w:t>
        </w:r>
        <w:r>
          <w:rPr>
            <w:noProof/>
            <w:webHidden/>
          </w:rPr>
          <w:tab/>
        </w:r>
        <w:r>
          <w:rPr>
            <w:noProof/>
            <w:webHidden/>
          </w:rPr>
          <w:fldChar w:fldCharType="begin"/>
        </w:r>
        <w:r>
          <w:rPr>
            <w:noProof/>
            <w:webHidden/>
          </w:rPr>
          <w:instrText xml:space="preserve"> PAGEREF _Toc438051759 \h </w:instrText>
        </w:r>
        <w:r>
          <w:rPr>
            <w:noProof/>
            <w:webHidden/>
          </w:rPr>
        </w:r>
        <w:r>
          <w:rPr>
            <w:noProof/>
            <w:webHidden/>
          </w:rPr>
          <w:fldChar w:fldCharType="separate"/>
        </w:r>
        <w:r>
          <w:rPr>
            <w:noProof/>
            <w:webHidden/>
          </w:rPr>
          <w:t>7</w:t>
        </w:r>
        <w:r>
          <w:rPr>
            <w:noProof/>
            <w:webHidden/>
          </w:rPr>
          <w:fldChar w:fldCharType="end"/>
        </w:r>
      </w:hyperlink>
    </w:p>
    <w:p w:rsidR="007357DA" w:rsidRDefault="007357DA">
      <w:pPr>
        <w:pStyle w:val="10"/>
        <w:rPr>
          <w:noProof/>
          <w:kern w:val="2"/>
          <w:sz w:val="21"/>
        </w:rPr>
      </w:pPr>
      <w:hyperlink w:anchor="_Toc438051760" w:history="1">
        <w:r w:rsidRPr="00DF54E2">
          <w:rPr>
            <w:rStyle w:val="ae"/>
            <w:rFonts w:hint="eastAsia"/>
            <w:noProof/>
          </w:rPr>
          <w:t>第九节</w:t>
        </w:r>
        <w:r>
          <w:rPr>
            <w:noProof/>
            <w:kern w:val="2"/>
            <w:sz w:val="21"/>
          </w:rPr>
          <w:tab/>
        </w:r>
        <w:r w:rsidRPr="00DF54E2">
          <w:rPr>
            <w:rStyle w:val="ae"/>
            <w:rFonts w:hint="eastAsia"/>
            <w:noProof/>
          </w:rPr>
          <w:t>私募基金份额持有人大会及日常机构</w:t>
        </w:r>
        <w:r>
          <w:rPr>
            <w:noProof/>
            <w:webHidden/>
          </w:rPr>
          <w:tab/>
        </w:r>
        <w:r>
          <w:rPr>
            <w:noProof/>
            <w:webHidden/>
          </w:rPr>
          <w:fldChar w:fldCharType="begin"/>
        </w:r>
        <w:r>
          <w:rPr>
            <w:noProof/>
            <w:webHidden/>
          </w:rPr>
          <w:instrText xml:space="preserve"> PAGEREF _Toc438051760 \h </w:instrText>
        </w:r>
        <w:r>
          <w:rPr>
            <w:noProof/>
            <w:webHidden/>
          </w:rPr>
        </w:r>
        <w:r>
          <w:rPr>
            <w:noProof/>
            <w:webHidden/>
          </w:rPr>
          <w:fldChar w:fldCharType="separate"/>
        </w:r>
        <w:r>
          <w:rPr>
            <w:noProof/>
            <w:webHidden/>
          </w:rPr>
          <w:t>14</w:t>
        </w:r>
        <w:r>
          <w:rPr>
            <w:noProof/>
            <w:webHidden/>
          </w:rPr>
          <w:fldChar w:fldCharType="end"/>
        </w:r>
      </w:hyperlink>
    </w:p>
    <w:p w:rsidR="007357DA" w:rsidRDefault="007357DA">
      <w:pPr>
        <w:pStyle w:val="10"/>
        <w:rPr>
          <w:noProof/>
          <w:kern w:val="2"/>
          <w:sz w:val="21"/>
        </w:rPr>
      </w:pPr>
      <w:hyperlink w:anchor="_Toc438051780" w:history="1">
        <w:r w:rsidRPr="00DF54E2">
          <w:rPr>
            <w:rStyle w:val="ae"/>
            <w:rFonts w:hint="eastAsia"/>
            <w:noProof/>
          </w:rPr>
          <w:t>第十节</w:t>
        </w:r>
        <w:r>
          <w:rPr>
            <w:noProof/>
            <w:kern w:val="2"/>
            <w:sz w:val="21"/>
          </w:rPr>
          <w:tab/>
        </w:r>
        <w:r w:rsidRPr="00DF54E2">
          <w:rPr>
            <w:rStyle w:val="ae"/>
            <w:rFonts w:hint="eastAsia"/>
            <w:noProof/>
          </w:rPr>
          <w:t>私募基金份额的登记</w:t>
        </w:r>
        <w:r>
          <w:rPr>
            <w:noProof/>
            <w:webHidden/>
          </w:rPr>
          <w:tab/>
        </w:r>
        <w:r>
          <w:rPr>
            <w:noProof/>
            <w:webHidden/>
          </w:rPr>
          <w:fldChar w:fldCharType="begin"/>
        </w:r>
        <w:r>
          <w:rPr>
            <w:noProof/>
            <w:webHidden/>
          </w:rPr>
          <w:instrText xml:space="preserve"> PAGEREF _Toc438051780 \h </w:instrText>
        </w:r>
        <w:r>
          <w:rPr>
            <w:noProof/>
            <w:webHidden/>
          </w:rPr>
        </w:r>
        <w:r>
          <w:rPr>
            <w:noProof/>
            <w:webHidden/>
          </w:rPr>
          <w:fldChar w:fldCharType="separate"/>
        </w:r>
        <w:r>
          <w:rPr>
            <w:noProof/>
            <w:webHidden/>
          </w:rPr>
          <w:t>16</w:t>
        </w:r>
        <w:r>
          <w:rPr>
            <w:noProof/>
            <w:webHidden/>
          </w:rPr>
          <w:fldChar w:fldCharType="end"/>
        </w:r>
      </w:hyperlink>
    </w:p>
    <w:p w:rsidR="007357DA" w:rsidRDefault="007357DA">
      <w:pPr>
        <w:pStyle w:val="10"/>
        <w:rPr>
          <w:noProof/>
          <w:kern w:val="2"/>
          <w:sz w:val="21"/>
        </w:rPr>
      </w:pPr>
      <w:hyperlink w:anchor="_Toc438051781" w:history="1">
        <w:r w:rsidRPr="00DF54E2">
          <w:rPr>
            <w:rStyle w:val="ae"/>
            <w:rFonts w:hint="eastAsia"/>
            <w:noProof/>
          </w:rPr>
          <w:t>第十一节</w:t>
        </w:r>
        <w:r>
          <w:rPr>
            <w:noProof/>
            <w:kern w:val="2"/>
            <w:sz w:val="21"/>
          </w:rPr>
          <w:tab/>
        </w:r>
        <w:r w:rsidRPr="00DF54E2">
          <w:rPr>
            <w:rStyle w:val="ae"/>
            <w:rFonts w:hint="eastAsia"/>
            <w:noProof/>
          </w:rPr>
          <w:t>私募基金的投资</w:t>
        </w:r>
        <w:r>
          <w:rPr>
            <w:noProof/>
            <w:webHidden/>
          </w:rPr>
          <w:tab/>
        </w:r>
        <w:r>
          <w:rPr>
            <w:noProof/>
            <w:webHidden/>
          </w:rPr>
          <w:fldChar w:fldCharType="begin"/>
        </w:r>
        <w:r>
          <w:rPr>
            <w:noProof/>
            <w:webHidden/>
          </w:rPr>
          <w:instrText xml:space="preserve"> PAGEREF _Toc438051781 \h </w:instrText>
        </w:r>
        <w:r>
          <w:rPr>
            <w:noProof/>
            <w:webHidden/>
          </w:rPr>
        </w:r>
        <w:r>
          <w:rPr>
            <w:noProof/>
            <w:webHidden/>
          </w:rPr>
          <w:fldChar w:fldCharType="separate"/>
        </w:r>
        <w:r>
          <w:rPr>
            <w:noProof/>
            <w:webHidden/>
          </w:rPr>
          <w:t>16</w:t>
        </w:r>
        <w:r>
          <w:rPr>
            <w:noProof/>
            <w:webHidden/>
          </w:rPr>
          <w:fldChar w:fldCharType="end"/>
        </w:r>
      </w:hyperlink>
    </w:p>
    <w:p w:rsidR="007357DA" w:rsidRDefault="007357DA">
      <w:pPr>
        <w:pStyle w:val="10"/>
        <w:rPr>
          <w:noProof/>
          <w:kern w:val="2"/>
          <w:sz w:val="21"/>
        </w:rPr>
      </w:pPr>
      <w:hyperlink w:anchor="_Toc438051782" w:history="1">
        <w:r w:rsidRPr="00DF54E2">
          <w:rPr>
            <w:rStyle w:val="ae"/>
            <w:rFonts w:hint="eastAsia"/>
            <w:noProof/>
          </w:rPr>
          <w:t>第十二节</w:t>
        </w:r>
        <w:r>
          <w:rPr>
            <w:noProof/>
            <w:kern w:val="2"/>
            <w:sz w:val="21"/>
          </w:rPr>
          <w:tab/>
        </w:r>
        <w:r w:rsidRPr="00DF54E2">
          <w:rPr>
            <w:rStyle w:val="ae"/>
            <w:rFonts w:hint="eastAsia"/>
            <w:noProof/>
          </w:rPr>
          <w:t>私募基金的财产</w:t>
        </w:r>
        <w:r>
          <w:rPr>
            <w:noProof/>
            <w:webHidden/>
          </w:rPr>
          <w:tab/>
        </w:r>
        <w:r>
          <w:rPr>
            <w:noProof/>
            <w:webHidden/>
          </w:rPr>
          <w:fldChar w:fldCharType="begin"/>
        </w:r>
        <w:r>
          <w:rPr>
            <w:noProof/>
            <w:webHidden/>
          </w:rPr>
          <w:instrText xml:space="preserve"> PAGEREF _Toc438051782 \h </w:instrText>
        </w:r>
        <w:r>
          <w:rPr>
            <w:noProof/>
            <w:webHidden/>
          </w:rPr>
        </w:r>
        <w:r>
          <w:rPr>
            <w:noProof/>
            <w:webHidden/>
          </w:rPr>
          <w:fldChar w:fldCharType="separate"/>
        </w:r>
        <w:r>
          <w:rPr>
            <w:noProof/>
            <w:webHidden/>
          </w:rPr>
          <w:t>17</w:t>
        </w:r>
        <w:r>
          <w:rPr>
            <w:noProof/>
            <w:webHidden/>
          </w:rPr>
          <w:fldChar w:fldCharType="end"/>
        </w:r>
      </w:hyperlink>
    </w:p>
    <w:p w:rsidR="007357DA" w:rsidRDefault="007357DA">
      <w:pPr>
        <w:pStyle w:val="10"/>
        <w:rPr>
          <w:noProof/>
          <w:kern w:val="2"/>
          <w:sz w:val="21"/>
        </w:rPr>
      </w:pPr>
      <w:hyperlink w:anchor="_Toc438051783" w:history="1">
        <w:r w:rsidRPr="00DF54E2">
          <w:rPr>
            <w:rStyle w:val="ae"/>
            <w:rFonts w:hint="eastAsia"/>
            <w:noProof/>
          </w:rPr>
          <w:t>第十三节</w:t>
        </w:r>
        <w:r>
          <w:rPr>
            <w:noProof/>
            <w:kern w:val="2"/>
            <w:sz w:val="21"/>
          </w:rPr>
          <w:tab/>
        </w:r>
        <w:r w:rsidRPr="00DF54E2">
          <w:rPr>
            <w:rStyle w:val="ae"/>
            <w:rFonts w:hint="eastAsia"/>
            <w:noProof/>
          </w:rPr>
          <w:t>交易及清算交收安排</w:t>
        </w:r>
        <w:r>
          <w:rPr>
            <w:noProof/>
            <w:webHidden/>
          </w:rPr>
          <w:tab/>
        </w:r>
        <w:r>
          <w:rPr>
            <w:noProof/>
            <w:webHidden/>
          </w:rPr>
          <w:fldChar w:fldCharType="begin"/>
        </w:r>
        <w:r>
          <w:rPr>
            <w:noProof/>
            <w:webHidden/>
          </w:rPr>
          <w:instrText xml:space="preserve"> PAGEREF _Toc438051783 \h </w:instrText>
        </w:r>
        <w:r>
          <w:rPr>
            <w:noProof/>
            <w:webHidden/>
          </w:rPr>
        </w:r>
        <w:r>
          <w:rPr>
            <w:noProof/>
            <w:webHidden/>
          </w:rPr>
          <w:fldChar w:fldCharType="separate"/>
        </w:r>
        <w:r>
          <w:rPr>
            <w:noProof/>
            <w:webHidden/>
          </w:rPr>
          <w:t>18</w:t>
        </w:r>
        <w:r>
          <w:rPr>
            <w:noProof/>
            <w:webHidden/>
          </w:rPr>
          <w:fldChar w:fldCharType="end"/>
        </w:r>
      </w:hyperlink>
    </w:p>
    <w:p w:rsidR="007357DA" w:rsidRDefault="007357DA">
      <w:pPr>
        <w:pStyle w:val="10"/>
        <w:rPr>
          <w:noProof/>
          <w:kern w:val="2"/>
          <w:sz w:val="21"/>
        </w:rPr>
      </w:pPr>
      <w:hyperlink w:anchor="_Toc438051784" w:history="1">
        <w:r w:rsidRPr="00DF54E2">
          <w:rPr>
            <w:rStyle w:val="ae"/>
            <w:rFonts w:hint="eastAsia"/>
            <w:noProof/>
          </w:rPr>
          <w:t>第十四节</w:t>
        </w:r>
        <w:r>
          <w:rPr>
            <w:noProof/>
            <w:kern w:val="2"/>
            <w:sz w:val="21"/>
          </w:rPr>
          <w:tab/>
        </w:r>
        <w:r w:rsidRPr="00DF54E2">
          <w:rPr>
            <w:rStyle w:val="ae"/>
            <w:rFonts w:hint="eastAsia"/>
            <w:noProof/>
          </w:rPr>
          <w:t>私募基金财产的估值和会计核算</w:t>
        </w:r>
        <w:r>
          <w:rPr>
            <w:noProof/>
            <w:webHidden/>
          </w:rPr>
          <w:tab/>
        </w:r>
        <w:r>
          <w:rPr>
            <w:noProof/>
            <w:webHidden/>
          </w:rPr>
          <w:fldChar w:fldCharType="begin"/>
        </w:r>
        <w:r>
          <w:rPr>
            <w:noProof/>
            <w:webHidden/>
          </w:rPr>
          <w:instrText xml:space="preserve"> PAGEREF _Toc438051784 \h </w:instrText>
        </w:r>
        <w:r>
          <w:rPr>
            <w:noProof/>
            <w:webHidden/>
          </w:rPr>
        </w:r>
        <w:r>
          <w:rPr>
            <w:noProof/>
            <w:webHidden/>
          </w:rPr>
          <w:fldChar w:fldCharType="separate"/>
        </w:r>
        <w:r>
          <w:rPr>
            <w:noProof/>
            <w:webHidden/>
          </w:rPr>
          <w:t>19</w:t>
        </w:r>
        <w:r>
          <w:rPr>
            <w:noProof/>
            <w:webHidden/>
          </w:rPr>
          <w:fldChar w:fldCharType="end"/>
        </w:r>
      </w:hyperlink>
    </w:p>
    <w:p w:rsidR="007357DA" w:rsidRDefault="007357DA">
      <w:pPr>
        <w:pStyle w:val="10"/>
        <w:rPr>
          <w:noProof/>
          <w:kern w:val="2"/>
          <w:sz w:val="21"/>
        </w:rPr>
      </w:pPr>
      <w:hyperlink w:anchor="_Toc438051785" w:history="1">
        <w:r w:rsidRPr="00DF54E2">
          <w:rPr>
            <w:rStyle w:val="ae"/>
            <w:rFonts w:hint="eastAsia"/>
            <w:noProof/>
          </w:rPr>
          <w:t>第十五节</w:t>
        </w:r>
        <w:r>
          <w:rPr>
            <w:noProof/>
            <w:kern w:val="2"/>
            <w:sz w:val="21"/>
          </w:rPr>
          <w:tab/>
        </w:r>
        <w:r w:rsidRPr="00DF54E2">
          <w:rPr>
            <w:rStyle w:val="ae"/>
            <w:rFonts w:hint="eastAsia"/>
            <w:noProof/>
          </w:rPr>
          <w:t>私募基金的费用与税收</w:t>
        </w:r>
        <w:r>
          <w:rPr>
            <w:noProof/>
            <w:webHidden/>
          </w:rPr>
          <w:tab/>
        </w:r>
        <w:r>
          <w:rPr>
            <w:noProof/>
            <w:webHidden/>
          </w:rPr>
          <w:fldChar w:fldCharType="begin"/>
        </w:r>
        <w:r>
          <w:rPr>
            <w:noProof/>
            <w:webHidden/>
          </w:rPr>
          <w:instrText xml:space="preserve"> PAGEREF _Toc438051785 \h </w:instrText>
        </w:r>
        <w:r>
          <w:rPr>
            <w:noProof/>
            <w:webHidden/>
          </w:rPr>
        </w:r>
        <w:r>
          <w:rPr>
            <w:noProof/>
            <w:webHidden/>
          </w:rPr>
          <w:fldChar w:fldCharType="separate"/>
        </w:r>
        <w:r>
          <w:rPr>
            <w:noProof/>
            <w:webHidden/>
          </w:rPr>
          <w:t>20</w:t>
        </w:r>
        <w:r>
          <w:rPr>
            <w:noProof/>
            <w:webHidden/>
          </w:rPr>
          <w:fldChar w:fldCharType="end"/>
        </w:r>
      </w:hyperlink>
    </w:p>
    <w:p w:rsidR="007357DA" w:rsidRDefault="007357DA">
      <w:pPr>
        <w:pStyle w:val="10"/>
        <w:rPr>
          <w:noProof/>
          <w:kern w:val="2"/>
          <w:sz w:val="21"/>
        </w:rPr>
      </w:pPr>
      <w:hyperlink w:anchor="_Toc438051786" w:history="1">
        <w:r w:rsidRPr="00DF54E2">
          <w:rPr>
            <w:rStyle w:val="ae"/>
            <w:rFonts w:hint="eastAsia"/>
            <w:noProof/>
          </w:rPr>
          <w:t>第十六节</w:t>
        </w:r>
        <w:r>
          <w:rPr>
            <w:noProof/>
            <w:kern w:val="2"/>
            <w:sz w:val="21"/>
          </w:rPr>
          <w:tab/>
        </w:r>
        <w:r w:rsidRPr="00DF54E2">
          <w:rPr>
            <w:rStyle w:val="ae"/>
            <w:rFonts w:hint="eastAsia"/>
            <w:noProof/>
          </w:rPr>
          <w:t>私募基金的收益分配</w:t>
        </w:r>
        <w:r>
          <w:rPr>
            <w:noProof/>
            <w:webHidden/>
          </w:rPr>
          <w:tab/>
        </w:r>
        <w:r>
          <w:rPr>
            <w:noProof/>
            <w:webHidden/>
          </w:rPr>
          <w:fldChar w:fldCharType="begin"/>
        </w:r>
        <w:r>
          <w:rPr>
            <w:noProof/>
            <w:webHidden/>
          </w:rPr>
          <w:instrText xml:space="preserve"> PAGEREF _Toc438051786 \h </w:instrText>
        </w:r>
        <w:r>
          <w:rPr>
            <w:noProof/>
            <w:webHidden/>
          </w:rPr>
        </w:r>
        <w:r>
          <w:rPr>
            <w:noProof/>
            <w:webHidden/>
          </w:rPr>
          <w:fldChar w:fldCharType="separate"/>
        </w:r>
        <w:r>
          <w:rPr>
            <w:noProof/>
            <w:webHidden/>
          </w:rPr>
          <w:t>21</w:t>
        </w:r>
        <w:r>
          <w:rPr>
            <w:noProof/>
            <w:webHidden/>
          </w:rPr>
          <w:fldChar w:fldCharType="end"/>
        </w:r>
      </w:hyperlink>
    </w:p>
    <w:p w:rsidR="007357DA" w:rsidRDefault="007357DA">
      <w:pPr>
        <w:pStyle w:val="10"/>
        <w:rPr>
          <w:noProof/>
          <w:kern w:val="2"/>
          <w:sz w:val="21"/>
        </w:rPr>
      </w:pPr>
      <w:hyperlink w:anchor="_Toc438051787" w:history="1">
        <w:r w:rsidRPr="00DF54E2">
          <w:rPr>
            <w:rStyle w:val="ae"/>
            <w:rFonts w:hint="eastAsia"/>
            <w:noProof/>
          </w:rPr>
          <w:t>第十七节</w:t>
        </w:r>
        <w:r>
          <w:rPr>
            <w:noProof/>
            <w:kern w:val="2"/>
            <w:sz w:val="21"/>
          </w:rPr>
          <w:tab/>
        </w:r>
        <w:r w:rsidRPr="00DF54E2">
          <w:rPr>
            <w:rStyle w:val="ae"/>
            <w:rFonts w:hint="eastAsia"/>
            <w:noProof/>
          </w:rPr>
          <w:t>信息披露与报告</w:t>
        </w:r>
        <w:r>
          <w:rPr>
            <w:noProof/>
            <w:webHidden/>
          </w:rPr>
          <w:tab/>
        </w:r>
        <w:r>
          <w:rPr>
            <w:noProof/>
            <w:webHidden/>
          </w:rPr>
          <w:fldChar w:fldCharType="begin"/>
        </w:r>
        <w:r>
          <w:rPr>
            <w:noProof/>
            <w:webHidden/>
          </w:rPr>
          <w:instrText xml:space="preserve"> PAGEREF _Toc438051787 \h </w:instrText>
        </w:r>
        <w:r>
          <w:rPr>
            <w:noProof/>
            <w:webHidden/>
          </w:rPr>
        </w:r>
        <w:r>
          <w:rPr>
            <w:noProof/>
            <w:webHidden/>
          </w:rPr>
          <w:fldChar w:fldCharType="separate"/>
        </w:r>
        <w:r>
          <w:rPr>
            <w:noProof/>
            <w:webHidden/>
          </w:rPr>
          <w:t>21</w:t>
        </w:r>
        <w:r>
          <w:rPr>
            <w:noProof/>
            <w:webHidden/>
          </w:rPr>
          <w:fldChar w:fldCharType="end"/>
        </w:r>
      </w:hyperlink>
    </w:p>
    <w:p w:rsidR="007357DA" w:rsidRDefault="007357DA">
      <w:pPr>
        <w:pStyle w:val="10"/>
        <w:rPr>
          <w:noProof/>
          <w:kern w:val="2"/>
          <w:sz w:val="21"/>
        </w:rPr>
      </w:pPr>
      <w:hyperlink w:anchor="_Toc438051788" w:history="1">
        <w:r w:rsidRPr="00DF54E2">
          <w:rPr>
            <w:rStyle w:val="ae"/>
            <w:rFonts w:hint="eastAsia"/>
            <w:noProof/>
          </w:rPr>
          <w:t>第十八节</w:t>
        </w:r>
        <w:r>
          <w:rPr>
            <w:noProof/>
            <w:kern w:val="2"/>
            <w:sz w:val="21"/>
          </w:rPr>
          <w:tab/>
        </w:r>
        <w:r w:rsidRPr="00DF54E2">
          <w:rPr>
            <w:rStyle w:val="ae"/>
            <w:rFonts w:hint="eastAsia"/>
            <w:noProof/>
          </w:rPr>
          <w:t>风险揭示</w:t>
        </w:r>
        <w:r>
          <w:rPr>
            <w:noProof/>
            <w:webHidden/>
          </w:rPr>
          <w:tab/>
        </w:r>
        <w:r>
          <w:rPr>
            <w:noProof/>
            <w:webHidden/>
          </w:rPr>
          <w:fldChar w:fldCharType="begin"/>
        </w:r>
        <w:r>
          <w:rPr>
            <w:noProof/>
            <w:webHidden/>
          </w:rPr>
          <w:instrText xml:space="preserve"> PAGEREF _Toc438051788 \h </w:instrText>
        </w:r>
        <w:r>
          <w:rPr>
            <w:noProof/>
            <w:webHidden/>
          </w:rPr>
        </w:r>
        <w:r>
          <w:rPr>
            <w:noProof/>
            <w:webHidden/>
          </w:rPr>
          <w:fldChar w:fldCharType="separate"/>
        </w:r>
        <w:r>
          <w:rPr>
            <w:noProof/>
            <w:webHidden/>
          </w:rPr>
          <w:t>22</w:t>
        </w:r>
        <w:r>
          <w:rPr>
            <w:noProof/>
            <w:webHidden/>
          </w:rPr>
          <w:fldChar w:fldCharType="end"/>
        </w:r>
      </w:hyperlink>
    </w:p>
    <w:p w:rsidR="007357DA" w:rsidRDefault="007357DA">
      <w:pPr>
        <w:pStyle w:val="10"/>
        <w:rPr>
          <w:noProof/>
          <w:kern w:val="2"/>
          <w:sz w:val="21"/>
        </w:rPr>
      </w:pPr>
      <w:hyperlink w:anchor="_Toc438051790" w:history="1">
        <w:r w:rsidRPr="00DF54E2">
          <w:rPr>
            <w:rStyle w:val="ae"/>
            <w:rFonts w:hint="eastAsia"/>
            <w:noProof/>
          </w:rPr>
          <w:t>第十九节</w:t>
        </w:r>
        <w:r>
          <w:rPr>
            <w:noProof/>
            <w:kern w:val="2"/>
            <w:sz w:val="21"/>
          </w:rPr>
          <w:tab/>
        </w:r>
        <w:r w:rsidRPr="00DF54E2">
          <w:rPr>
            <w:rStyle w:val="ae"/>
            <w:rFonts w:hint="eastAsia"/>
            <w:noProof/>
          </w:rPr>
          <w:t>分级安排</w:t>
        </w:r>
        <w:r>
          <w:rPr>
            <w:noProof/>
            <w:webHidden/>
          </w:rPr>
          <w:tab/>
        </w:r>
        <w:r>
          <w:rPr>
            <w:noProof/>
            <w:webHidden/>
          </w:rPr>
          <w:fldChar w:fldCharType="begin"/>
        </w:r>
        <w:r>
          <w:rPr>
            <w:noProof/>
            <w:webHidden/>
          </w:rPr>
          <w:instrText xml:space="preserve"> PAGEREF _Toc438051790 \h </w:instrText>
        </w:r>
        <w:r>
          <w:rPr>
            <w:noProof/>
            <w:webHidden/>
          </w:rPr>
        </w:r>
        <w:r>
          <w:rPr>
            <w:noProof/>
            <w:webHidden/>
          </w:rPr>
          <w:fldChar w:fldCharType="separate"/>
        </w:r>
        <w:r>
          <w:rPr>
            <w:noProof/>
            <w:webHidden/>
          </w:rPr>
          <w:t>23</w:t>
        </w:r>
        <w:r>
          <w:rPr>
            <w:noProof/>
            <w:webHidden/>
          </w:rPr>
          <w:fldChar w:fldCharType="end"/>
        </w:r>
      </w:hyperlink>
    </w:p>
    <w:p w:rsidR="007357DA" w:rsidRDefault="007357DA">
      <w:pPr>
        <w:pStyle w:val="10"/>
        <w:rPr>
          <w:noProof/>
          <w:kern w:val="2"/>
          <w:sz w:val="21"/>
        </w:rPr>
      </w:pPr>
      <w:hyperlink w:anchor="_Toc438051791" w:history="1">
        <w:r w:rsidRPr="00DF54E2">
          <w:rPr>
            <w:rStyle w:val="ae"/>
            <w:rFonts w:hint="eastAsia"/>
            <w:noProof/>
          </w:rPr>
          <w:t>第二十节</w:t>
        </w:r>
        <w:r>
          <w:rPr>
            <w:noProof/>
            <w:kern w:val="2"/>
            <w:sz w:val="21"/>
          </w:rPr>
          <w:tab/>
        </w:r>
        <w:r w:rsidRPr="00DF54E2">
          <w:rPr>
            <w:rStyle w:val="ae"/>
            <w:rFonts w:hint="eastAsia"/>
            <w:noProof/>
          </w:rPr>
          <w:t>私募基金合同的期限、变更与终止</w:t>
        </w:r>
        <w:r>
          <w:rPr>
            <w:noProof/>
            <w:webHidden/>
          </w:rPr>
          <w:tab/>
        </w:r>
        <w:r>
          <w:rPr>
            <w:noProof/>
            <w:webHidden/>
          </w:rPr>
          <w:fldChar w:fldCharType="begin"/>
        </w:r>
        <w:r>
          <w:rPr>
            <w:noProof/>
            <w:webHidden/>
          </w:rPr>
          <w:instrText xml:space="preserve"> PAGEREF _Toc438051791 \h </w:instrText>
        </w:r>
        <w:r>
          <w:rPr>
            <w:noProof/>
            <w:webHidden/>
          </w:rPr>
        </w:r>
        <w:r>
          <w:rPr>
            <w:noProof/>
            <w:webHidden/>
          </w:rPr>
          <w:fldChar w:fldCharType="separate"/>
        </w:r>
        <w:r>
          <w:rPr>
            <w:noProof/>
            <w:webHidden/>
          </w:rPr>
          <w:t>23</w:t>
        </w:r>
        <w:r>
          <w:rPr>
            <w:noProof/>
            <w:webHidden/>
          </w:rPr>
          <w:fldChar w:fldCharType="end"/>
        </w:r>
      </w:hyperlink>
    </w:p>
    <w:p w:rsidR="007357DA" w:rsidRDefault="007357DA">
      <w:pPr>
        <w:pStyle w:val="10"/>
        <w:rPr>
          <w:noProof/>
          <w:kern w:val="2"/>
          <w:sz w:val="21"/>
        </w:rPr>
      </w:pPr>
      <w:hyperlink w:anchor="_Toc438051792" w:history="1">
        <w:r w:rsidRPr="00DF54E2">
          <w:rPr>
            <w:rStyle w:val="ae"/>
            <w:rFonts w:hint="eastAsia"/>
            <w:noProof/>
          </w:rPr>
          <w:t>第二十一节</w:t>
        </w:r>
        <w:r>
          <w:rPr>
            <w:noProof/>
            <w:kern w:val="2"/>
            <w:sz w:val="21"/>
          </w:rPr>
          <w:tab/>
        </w:r>
        <w:r w:rsidRPr="00DF54E2">
          <w:rPr>
            <w:rStyle w:val="ae"/>
            <w:rFonts w:hint="eastAsia"/>
            <w:noProof/>
          </w:rPr>
          <w:t>私募基金的清算</w:t>
        </w:r>
        <w:r>
          <w:rPr>
            <w:noProof/>
            <w:webHidden/>
          </w:rPr>
          <w:tab/>
        </w:r>
        <w:r>
          <w:rPr>
            <w:noProof/>
            <w:webHidden/>
          </w:rPr>
          <w:fldChar w:fldCharType="begin"/>
        </w:r>
        <w:r>
          <w:rPr>
            <w:noProof/>
            <w:webHidden/>
          </w:rPr>
          <w:instrText xml:space="preserve"> PAGEREF _Toc438051792 \h </w:instrText>
        </w:r>
        <w:r>
          <w:rPr>
            <w:noProof/>
            <w:webHidden/>
          </w:rPr>
        </w:r>
        <w:r>
          <w:rPr>
            <w:noProof/>
            <w:webHidden/>
          </w:rPr>
          <w:fldChar w:fldCharType="separate"/>
        </w:r>
        <w:r>
          <w:rPr>
            <w:noProof/>
            <w:webHidden/>
          </w:rPr>
          <w:t>25</w:t>
        </w:r>
        <w:r>
          <w:rPr>
            <w:noProof/>
            <w:webHidden/>
          </w:rPr>
          <w:fldChar w:fldCharType="end"/>
        </w:r>
      </w:hyperlink>
    </w:p>
    <w:p w:rsidR="007357DA" w:rsidRDefault="007357DA">
      <w:pPr>
        <w:pStyle w:val="10"/>
        <w:rPr>
          <w:noProof/>
          <w:kern w:val="2"/>
          <w:sz w:val="21"/>
        </w:rPr>
      </w:pPr>
      <w:hyperlink w:anchor="_Toc438051793" w:history="1">
        <w:r w:rsidRPr="00DF54E2">
          <w:rPr>
            <w:rStyle w:val="ae"/>
            <w:rFonts w:hint="eastAsia"/>
            <w:noProof/>
          </w:rPr>
          <w:t>第二十二节</w:t>
        </w:r>
        <w:r>
          <w:rPr>
            <w:noProof/>
            <w:kern w:val="2"/>
            <w:sz w:val="21"/>
          </w:rPr>
          <w:tab/>
        </w:r>
        <w:r w:rsidRPr="00DF54E2">
          <w:rPr>
            <w:rStyle w:val="ae"/>
            <w:rFonts w:hint="eastAsia"/>
            <w:noProof/>
          </w:rPr>
          <w:t>违约责任</w:t>
        </w:r>
        <w:r>
          <w:rPr>
            <w:noProof/>
            <w:webHidden/>
          </w:rPr>
          <w:tab/>
        </w:r>
        <w:r>
          <w:rPr>
            <w:noProof/>
            <w:webHidden/>
          </w:rPr>
          <w:fldChar w:fldCharType="begin"/>
        </w:r>
        <w:r>
          <w:rPr>
            <w:noProof/>
            <w:webHidden/>
          </w:rPr>
          <w:instrText xml:space="preserve"> PAGEREF _Toc438051793 \h </w:instrText>
        </w:r>
        <w:r>
          <w:rPr>
            <w:noProof/>
            <w:webHidden/>
          </w:rPr>
        </w:r>
        <w:r>
          <w:rPr>
            <w:noProof/>
            <w:webHidden/>
          </w:rPr>
          <w:fldChar w:fldCharType="separate"/>
        </w:r>
        <w:r>
          <w:rPr>
            <w:noProof/>
            <w:webHidden/>
          </w:rPr>
          <w:t>26</w:t>
        </w:r>
        <w:r>
          <w:rPr>
            <w:noProof/>
            <w:webHidden/>
          </w:rPr>
          <w:fldChar w:fldCharType="end"/>
        </w:r>
      </w:hyperlink>
    </w:p>
    <w:p w:rsidR="007357DA" w:rsidRDefault="007357DA">
      <w:pPr>
        <w:pStyle w:val="10"/>
        <w:rPr>
          <w:noProof/>
          <w:kern w:val="2"/>
          <w:sz w:val="21"/>
        </w:rPr>
      </w:pPr>
      <w:hyperlink w:anchor="_Toc438051794" w:history="1">
        <w:r w:rsidRPr="00DF54E2">
          <w:rPr>
            <w:rStyle w:val="ae"/>
            <w:rFonts w:hint="eastAsia"/>
            <w:noProof/>
          </w:rPr>
          <w:t>第二十三节</w:t>
        </w:r>
        <w:r>
          <w:rPr>
            <w:noProof/>
            <w:kern w:val="2"/>
            <w:sz w:val="21"/>
          </w:rPr>
          <w:tab/>
        </w:r>
        <w:r w:rsidRPr="00DF54E2">
          <w:rPr>
            <w:rStyle w:val="ae"/>
            <w:rFonts w:hint="eastAsia"/>
            <w:noProof/>
          </w:rPr>
          <w:t>争议的处理</w:t>
        </w:r>
        <w:r>
          <w:rPr>
            <w:noProof/>
            <w:webHidden/>
          </w:rPr>
          <w:tab/>
        </w:r>
        <w:r>
          <w:rPr>
            <w:noProof/>
            <w:webHidden/>
          </w:rPr>
          <w:fldChar w:fldCharType="begin"/>
        </w:r>
        <w:r>
          <w:rPr>
            <w:noProof/>
            <w:webHidden/>
          </w:rPr>
          <w:instrText xml:space="preserve"> PAGEREF _Toc438051794 \h </w:instrText>
        </w:r>
        <w:r>
          <w:rPr>
            <w:noProof/>
            <w:webHidden/>
          </w:rPr>
        </w:r>
        <w:r>
          <w:rPr>
            <w:noProof/>
            <w:webHidden/>
          </w:rPr>
          <w:fldChar w:fldCharType="separate"/>
        </w:r>
        <w:r>
          <w:rPr>
            <w:noProof/>
            <w:webHidden/>
          </w:rPr>
          <w:t>26</w:t>
        </w:r>
        <w:r>
          <w:rPr>
            <w:noProof/>
            <w:webHidden/>
          </w:rPr>
          <w:fldChar w:fldCharType="end"/>
        </w:r>
      </w:hyperlink>
    </w:p>
    <w:p w:rsidR="007357DA" w:rsidRDefault="007357DA">
      <w:pPr>
        <w:pStyle w:val="10"/>
        <w:rPr>
          <w:noProof/>
          <w:kern w:val="2"/>
          <w:sz w:val="21"/>
        </w:rPr>
      </w:pPr>
      <w:hyperlink w:anchor="_Toc438051795" w:history="1">
        <w:r w:rsidRPr="00DF54E2">
          <w:rPr>
            <w:rStyle w:val="ae"/>
            <w:rFonts w:hint="eastAsia"/>
            <w:noProof/>
          </w:rPr>
          <w:t>第二十四节</w:t>
        </w:r>
        <w:r>
          <w:rPr>
            <w:noProof/>
            <w:kern w:val="2"/>
            <w:sz w:val="21"/>
          </w:rPr>
          <w:tab/>
        </w:r>
        <w:r w:rsidRPr="00DF54E2">
          <w:rPr>
            <w:rStyle w:val="ae"/>
            <w:rFonts w:hint="eastAsia"/>
            <w:noProof/>
          </w:rPr>
          <w:t>其他事项</w:t>
        </w:r>
        <w:r>
          <w:rPr>
            <w:noProof/>
            <w:webHidden/>
          </w:rPr>
          <w:tab/>
        </w:r>
        <w:r>
          <w:rPr>
            <w:noProof/>
            <w:webHidden/>
          </w:rPr>
          <w:fldChar w:fldCharType="begin"/>
        </w:r>
        <w:r>
          <w:rPr>
            <w:noProof/>
            <w:webHidden/>
          </w:rPr>
          <w:instrText xml:space="preserve"> PAGEREF _Toc438051795 \h </w:instrText>
        </w:r>
        <w:r>
          <w:rPr>
            <w:noProof/>
            <w:webHidden/>
          </w:rPr>
        </w:r>
        <w:r>
          <w:rPr>
            <w:noProof/>
            <w:webHidden/>
          </w:rPr>
          <w:fldChar w:fldCharType="separate"/>
        </w:r>
        <w:r>
          <w:rPr>
            <w:noProof/>
            <w:webHidden/>
          </w:rPr>
          <w:t>26</w:t>
        </w:r>
        <w:r>
          <w:rPr>
            <w:noProof/>
            <w:webHidden/>
          </w:rPr>
          <w:fldChar w:fldCharType="end"/>
        </w:r>
      </w:hyperlink>
    </w:p>
    <w:p w:rsidR="007357DA" w:rsidRDefault="007357DA">
      <w:pPr>
        <w:pStyle w:val="10"/>
        <w:rPr>
          <w:noProof/>
          <w:kern w:val="2"/>
          <w:sz w:val="21"/>
        </w:rPr>
      </w:pPr>
      <w:hyperlink w:anchor="_Toc438051796" w:history="1">
        <w:r w:rsidRPr="00DF54E2">
          <w:rPr>
            <w:rStyle w:val="ae"/>
            <w:rFonts w:eastAsia="黑体" w:hint="eastAsia"/>
            <w:noProof/>
            <w:snapToGrid w:val="0"/>
            <w:w w:val="0"/>
          </w:rPr>
          <w:t>第三章</w:t>
        </w:r>
        <w:r>
          <w:rPr>
            <w:noProof/>
            <w:kern w:val="2"/>
            <w:sz w:val="21"/>
          </w:rPr>
          <w:tab/>
        </w:r>
        <w:r w:rsidRPr="00DF54E2">
          <w:rPr>
            <w:rStyle w:val="ae"/>
            <w:rFonts w:ascii="黑体" w:eastAsia="黑体" w:hAnsi="黑体" w:hint="eastAsia"/>
            <w:noProof/>
          </w:rPr>
          <w:t>附</w:t>
        </w:r>
        <w:r w:rsidRPr="00DF54E2">
          <w:rPr>
            <w:rStyle w:val="ae"/>
            <w:rFonts w:ascii="黑体" w:eastAsia="黑体" w:hAnsi="黑体"/>
            <w:noProof/>
          </w:rPr>
          <w:t xml:space="preserve">  </w:t>
        </w:r>
        <w:r w:rsidRPr="00DF54E2">
          <w:rPr>
            <w:rStyle w:val="ae"/>
            <w:rFonts w:ascii="黑体" w:eastAsia="黑体" w:hAnsi="黑体" w:hint="eastAsia"/>
            <w:noProof/>
          </w:rPr>
          <w:t>则</w:t>
        </w:r>
        <w:r>
          <w:rPr>
            <w:noProof/>
            <w:webHidden/>
          </w:rPr>
          <w:tab/>
        </w:r>
        <w:r>
          <w:rPr>
            <w:noProof/>
            <w:webHidden/>
          </w:rPr>
          <w:fldChar w:fldCharType="begin"/>
        </w:r>
        <w:r>
          <w:rPr>
            <w:noProof/>
            <w:webHidden/>
          </w:rPr>
          <w:instrText xml:space="preserve"> PAGEREF _Toc438051796 \h </w:instrText>
        </w:r>
        <w:r>
          <w:rPr>
            <w:noProof/>
            <w:webHidden/>
          </w:rPr>
        </w:r>
        <w:r>
          <w:rPr>
            <w:noProof/>
            <w:webHidden/>
          </w:rPr>
          <w:fldChar w:fldCharType="separate"/>
        </w:r>
        <w:r>
          <w:rPr>
            <w:noProof/>
            <w:webHidden/>
          </w:rPr>
          <w:t>27</w:t>
        </w:r>
        <w:r>
          <w:rPr>
            <w:noProof/>
            <w:webHidden/>
          </w:rPr>
          <w:fldChar w:fldCharType="end"/>
        </w:r>
      </w:hyperlink>
    </w:p>
    <w:p w:rsidR="00375B1F" w:rsidRDefault="00BA1C44" w:rsidP="00AB2CAE">
      <w:pPr>
        <w:tabs>
          <w:tab w:val="right" w:leader="dot" w:pos="8364"/>
          <w:tab w:val="right" w:leader="dot" w:pos="8931"/>
        </w:tabs>
        <w:spacing w:before="0" w:after="0" w:line="400" w:lineRule="exact"/>
        <w:rPr>
          <w:rFonts w:ascii="仿宋_GB2312" w:eastAsia="仿宋_GB2312" w:hAnsi="黑体"/>
          <w:sz w:val="44"/>
          <w:szCs w:val="44"/>
        </w:rPr>
        <w:sectPr w:rsidR="00375B1F">
          <w:footerReference w:type="default" r:id="rId10"/>
          <w:pgSz w:w="11906" w:h="16838"/>
          <w:pgMar w:top="1440" w:right="1800" w:bottom="1440" w:left="1800" w:header="851" w:footer="992" w:gutter="0"/>
          <w:cols w:space="425"/>
          <w:docGrid w:type="lines" w:linePitch="326"/>
        </w:sectPr>
      </w:pPr>
      <w:r>
        <w:rPr>
          <w:rFonts w:eastAsia="仿宋_GB2312" w:hint="eastAsia"/>
          <w:sz w:val="44"/>
          <w:szCs w:val="44"/>
        </w:rPr>
        <w:fldChar w:fldCharType="end"/>
      </w:r>
    </w:p>
    <w:p w:rsidR="00375B1F" w:rsidRDefault="00BA1C44">
      <w:pPr>
        <w:spacing w:before="0" w:after="0"/>
        <w:jc w:val="center"/>
        <w:rPr>
          <w:rFonts w:ascii="黑体" w:eastAsia="黑体" w:hAnsi="黑体"/>
          <w:sz w:val="44"/>
          <w:szCs w:val="44"/>
        </w:rPr>
      </w:pPr>
      <w:r>
        <w:rPr>
          <w:rFonts w:ascii="黑体" w:eastAsia="黑体" w:hAnsi="黑体" w:hint="eastAsia"/>
          <w:sz w:val="44"/>
          <w:szCs w:val="44"/>
        </w:rPr>
        <w:lastRenderedPageBreak/>
        <w:t xml:space="preserve">契约型私募投资基金合同内容与格式指引 </w:t>
      </w:r>
    </w:p>
    <w:p w:rsidR="00375B1F" w:rsidRDefault="00BA1C44">
      <w:pPr>
        <w:spacing w:before="0" w:after="0"/>
        <w:jc w:val="center"/>
        <w:rPr>
          <w:rFonts w:ascii="Heiti SC Light" w:eastAsia="Heiti SC Light" w:hAnsi="黑体"/>
          <w:sz w:val="32"/>
          <w:szCs w:val="32"/>
        </w:rPr>
      </w:pPr>
      <w:r>
        <w:rPr>
          <w:rFonts w:ascii="黑体" w:eastAsia="黑体" w:hAnsi="黑体" w:hint="eastAsia"/>
          <w:sz w:val="44"/>
          <w:szCs w:val="44"/>
        </w:rPr>
        <w:t>（征求意见稿）</w:t>
      </w:r>
    </w:p>
    <w:p w:rsidR="00375B1F" w:rsidRDefault="00BA1C44">
      <w:pPr>
        <w:pStyle w:val="1"/>
        <w:spacing w:beforeLines="100" w:before="326" w:afterLines="50" w:after="163" w:line="240" w:lineRule="auto"/>
        <w:ind w:left="0" w:rightChars="0" w:right="0" w:firstLine="0"/>
        <w:rPr>
          <w:rFonts w:ascii="黑体" w:eastAsia="黑体" w:hAnsi="黑体"/>
          <w:sz w:val="32"/>
          <w:szCs w:val="32"/>
        </w:rPr>
      </w:pPr>
      <w:bookmarkStart w:id="0" w:name="_Toc438051747"/>
      <w:r>
        <w:rPr>
          <w:rFonts w:ascii="黑体" w:eastAsia="黑体" w:hAnsi="黑体" w:hint="eastAsia"/>
          <w:sz w:val="32"/>
          <w:szCs w:val="32"/>
        </w:rPr>
        <w:t>总则</w:t>
      </w:r>
      <w:bookmarkEnd w:id="0"/>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根据《中华人民共和国证券投资基金法》（以下简称《基金法》）、《私募投资基金监督管理暂行办法》（以下简称《暂行办法》）、《私募投资基金管理人登记和基金备案办法（试行）》及其他相关规定，制定本指引。</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私募基金管理人通过契约形式募集设立私募证券投资基金的，应当按照本指引制定私募投资基金合同；私募基金管理人通过契约形式募集设立私</w:t>
      </w:r>
      <w:proofErr w:type="gramStart"/>
      <w:r>
        <w:rPr>
          <w:rFonts w:ascii="仿宋_GB2312" w:eastAsia="仿宋_GB2312" w:hAnsi="仿宋" w:hint="eastAsia"/>
          <w:sz w:val="32"/>
          <w:szCs w:val="32"/>
        </w:rPr>
        <w:t>募股权投资</w:t>
      </w:r>
      <w:proofErr w:type="gramEnd"/>
      <w:r>
        <w:rPr>
          <w:rFonts w:ascii="仿宋_GB2312" w:eastAsia="仿宋_GB2312" w:hAnsi="仿宋" w:hint="eastAsia"/>
          <w:sz w:val="32"/>
          <w:szCs w:val="32"/>
        </w:rPr>
        <w:t>基金、创业投资基金和其他类型投资基金应当参照本指引制定私募投资基金合同。</w:t>
      </w:r>
    </w:p>
    <w:p w:rsidR="00375B1F" w:rsidRDefault="00BA1C44">
      <w:pPr>
        <w:pStyle w:val="12"/>
        <w:numPr>
          <w:ilvl w:val="0"/>
          <w:numId w:val="3"/>
        </w:numPr>
        <w:spacing w:before="0" w:after="0"/>
        <w:ind w:left="0" w:firstLineChars="202" w:firstLine="646"/>
        <w:rPr>
          <w:rFonts w:ascii="仿宋_GB2312" w:eastAsia="仿宋_GB2312" w:hAnsi="仿宋"/>
          <w:sz w:val="32"/>
          <w:szCs w:val="32"/>
          <w:u w:val="single"/>
        </w:rPr>
      </w:pPr>
      <w:r>
        <w:rPr>
          <w:rFonts w:ascii="仿宋_GB2312" w:eastAsia="仿宋_GB2312" w:hAnsi="黑体" w:hint="eastAsia"/>
          <w:sz w:val="32"/>
          <w:szCs w:val="32"/>
        </w:rPr>
        <w:t>私募基金合同的名称中须标识“私募基金”字样。</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基金合同当事人应当遵循平等自愿、诚实信用、公平原则订立基金合同，维护投资者合法权益，不得损害国家利益和社会公共利益。</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基金合同不得含有虚假内容或误导性陈述。</w:t>
      </w:r>
    </w:p>
    <w:p w:rsidR="00BE48B1" w:rsidRPr="00BE48B1" w:rsidRDefault="00E75B7B" w:rsidP="00AB2CAE">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私</w:t>
      </w:r>
      <w:r w:rsidR="00BE48B1">
        <w:rPr>
          <w:rFonts w:ascii="仿宋_GB2312" w:eastAsia="仿宋_GB2312" w:hAnsi="仿宋" w:hint="eastAsia"/>
          <w:sz w:val="32"/>
          <w:szCs w:val="32"/>
        </w:rPr>
        <w:t>募基金进行托管的，私募基金管理人、基金托管人以及投资者三方应当共同签订基金合同；基金合同明确约定不托管的，应当在基金合同中明确保障私募基金财产安全的制度措施和纠纷解决机制。</w:t>
      </w:r>
    </w:p>
    <w:p w:rsidR="00F05666" w:rsidRDefault="00AB2CAE" w:rsidP="00AB2CAE">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lastRenderedPageBreak/>
        <w:t>私募基金管理人聘用第三方机构担任投资顾问的，应当</w:t>
      </w:r>
      <w:r w:rsidR="00F05666">
        <w:rPr>
          <w:rFonts w:ascii="仿宋_GB2312" w:eastAsia="仿宋_GB2312" w:hAnsi="仿宋" w:hint="eastAsia"/>
          <w:sz w:val="32"/>
          <w:szCs w:val="32"/>
        </w:rPr>
        <w:t>通过投资顾问协议明确约定双方权利义务和责任。但是</w:t>
      </w:r>
      <w:r>
        <w:rPr>
          <w:rFonts w:ascii="仿宋_GB2312" w:eastAsia="仿宋_GB2312" w:hAnsi="仿宋" w:hint="eastAsia"/>
          <w:sz w:val="32"/>
          <w:szCs w:val="32"/>
        </w:rPr>
        <w:t>，</w:t>
      </w:r>
      <w:r w:rsidR="00F05666">
        <w:rPr>
          <w:rFonts w:ascii="仿宋_GB2312" w:eastAsia="仿宋_GB2312" w:hAnsi="仿宋" w:hint="eastAsia"/>
          <w:sz w:val="32"/>
          <w:szCs w:val="32"/>
        </w:rPr>
        <w:t>私募基金管理人不得因委托而免去其作为基金管理人的各项职责。</w:t>
      </w:r>
    </w:p>
    <w:p w:rsidR="00C0138F" w:rsidRDefault="00AB2CAE" w:rsidP="00AB2CAE">
      <w:pPr>
        <w:pStyle w:val="12"/>
        <w:spacing w:before="0" w:after="0"/>
        <w:ind w:firstLineChars="0" w:firstLine="488"/>
        <w:rPr>
          <w:rFonts w:ascii="仿宋_GB2312" w:eastAsia="仿宋_GB2312" w:hAnsi="仿宋"/>
          <w:sz w:val="32"/>
          <w:szCs w:val="32"/>
        </w:rPr>
      </w:pPr>
      <w:r>
        <w:rPr>
          <w:rFonts w:ascii="仿宋_GB2312" w:eastAsia="仿宋_GB2312" w:hAnsi="仿宋" w:hint="eastAsia"/>
          <w:sz w:val="32"/>
          <w:szCs w:val="32"/>
        </w:rPr>
        <w:t>投资顾问的条件和遴选程序，</w:t>
      </w:r>
      <w:r w:rsidR="00204CCB" w:rsidRPr="00D57340">
        <w:rPr>
          <w:rFonts w:ascii="仿宋_GB2312" w:eastAsia="仿宋_GB2312" w:hAnsi="仿宋" w:hint="eastAsia"/>
          <w:sz w:val="32"/>
          <w:szCs w:val="32"/>
        </w:rPr>
        <w:t>应符合法律法规和行业自律规则的规定和要求。</w:t>
      </w:r>
      <w:r w:rsidR="00204CCB" w:rsidRPr="00AB2CAE">
        <w:rPr>
          <w:rFonts w:ascii="仿宋_GB2312" w:eastAsia="仿宋_GB2312" w:hAnsi="仿宋" w:hint="eastAsia"/>
          <w:sz w:val="32"/>
          <w:szCs w:val="32"/>
        </w:rPr>
        <w:t>基金合同中已订明投资顾问的，应列明以下事项：</w:t>
      </w:r>
    </w:p>
    <w:p w:rsidR="00C0138F" w:rsidRDefault="00204CCB" w:rsidP="00AB2CAE">
      <w:pPr>
        <w:pStyle w:val="12"/>
        <w:numPr>
          <w:ilvl w:val="0"/>
          <w:numId w:val="32"/>
        </w:numPr>
        <w:spacing w:before="0" w:after="0"/>
        <w:ind w:left="0" w:firstLineChars="0" w:firstLine="488"/>
        <w:rPr>
          <w:rFonts w:ascii="仿宋_GB2312" w:eastAsia="仿宋_GB2312" w:hAnsi="仿宋"/>
          <w:sz w:val="32"/>
          <w:szCs w:val="32"/>
        </w:rPr>
      </w:pPr>
      <w:r w:rsidRPr="00AB2CAE">
        <w:rPr>
          <w:rFonts w:ascii="仿宋_GB2312" w:eastAsia="仿宋_GB2312" w:hAnsi="仿宋" w:hint="eastAsia"/>
          <w:sz w:val="32"/>
          <w:szCs w:val="32"/>
        </w:rPr>
        <w:t>因私募基金管理人聘请投资顾问对合同各方当事人权利义务产生影响的情况说明及相关纠纷解决机制；</w:t>
      </w:r>
    </w:p>
    <w:p w:rsidR="00204CCB" w:rsidRPr="00C0138F" w:rsidRDefault="00204CCB" w:rsidP="00AB2CAE">
      <w:pPr>
        <w:pStyle w:val="12"/>
        <w:numPr>
          <w:ilvl w:val="0"/>
          <w:numId w:val="32"/>
        </w:numPr>
        <w:spacing w:before="0" w:after="0"/>
        <w:ind w:left="0" w:firstLineChars="0" w:firstLine="488"/>
        <w:rPr>
          <w:rFonts w:ascii="仿宋_GB2312" w:eastAsia="仿宋_GB2312" w:hAnsi="仿宋"/>
          <w:sz w:val="32"/>
          <w:szCs w:val="32"/>
        </w:rPr>
      </w:pPr>
      <w:r w:rsidRPr="00AB2CAE">
        <w:rPr>
          <w:rFonts w:ascii="仿宋_GB2312" w:eastAsia="仿宋_GB2312" w:hAnsi="仿宋" w:hint="eastAsia"/>
          <w:sz w:val="32"/>
          <w:szCs w:val="32"/>
        </w:rPr>
        <w:t>在风险揭示书中特别揭示与投资顾问相关的各类风险事项并由私募基金管理人、投资者等当事人签字确认。</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对于本指引有明确要求的，基金合同中应当载明本指引规定的相关内容。在不违反《基金法》、《暂行办法》以及相关法律法规的前提下，基金合同当事人可以根据实际情况约定本指引规定内容之外的事项。本指引某些具体要求对当事人确不适用的，当事人可对相应内容做出合理调整和变动，但</w:t>
      </w:r>
      <w:r w:rsidR="00720975">
        <w:rPr>
          <w:rFonts w:ascii="仿宋_GB2312" w:eastAsia="仿宋_GB2312" w:hAnsi="仿宋" w:hint="eastAsia"/>
          <w:sz w:val="32"/>
          <w:szCs w:val="32"/>
        </w:rPr>
        <w:t>管理人应在《风险揭示书》中向投资者进行</w:t>
      </w:r>
      <w:r w:rsidR="00B87508">
        <w:rPr>
          <w:rFonts w:ascii="仿宋_GB2312" w:eastAsia="仿宋_GB2312" w:hAnsi="仿宋" w:hint="eastAsia"/>
          <w:sz w:val="32"/>
          <w:szCs w:val="32"/>
        </w:rPr>
        <w:t>特别</w:t>
      </w:r>
      <w:r w:rsidR="00720975">
        <w:rPr>
          <w:rFonts w:ascii="仿宋_GB2312" w:eastAsia="仿宋_GB2312" w:hAnsi="仿宋" w:hint="eastAsia"/>
          <w:sz w:val="32"/>
          <w:szCs w:val="32"/>
        </w:rPr>
        <w:t>揭示，</w:t>
      </w:r>
      <w:r w:rsidR="00B12FB4">
        <w:rPr>
          <w:rFonts w:ascii="仿宋_GB2312" w:eastAsia="仿宋_GB2312" w:hAnsi="仿宋" w:hint="eastAsia"/>
          <w:sz w:val="32"/>
          <w:szCs w:val="32"/>
        </w:rPr>
        <w:t>并</w:t>
      </w:r>
      <w:r>
        <w:rPr>
          <w:rFonts w:ascii="仿宋_GB2312" w:eastAsia="仿宋_GB2312" w:hAnsi="仿宋" w:hint="eastAsia"/>
          <w:sz w:val="32"/>
          <w:szCs w:val="32"/>
        </w:rPr>
        <w:t>在基金合同报</w:t>
      </w:r>
      <w:r w:rsidR="00B12FB4">
        <w:rPr>
          <w:rFonts w:ascii="仿宋_GB2312" w:eastAsia="仿宋_GB2312" w:hAnsi="仿宋" w:hint="eastAsia"/>
          <w:sz w:val="32"/>
          <w:szCs w:val="32"/>
        </w:rPr>
        <w:t>送</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备案时出具书面说明。</w:t>
      </w:r>
    </w:p>
    <w:p w:rsidR="00375B1F" w:rsidRDefault="00BA1C44">
      <w:pPr>
        <w:pStyle w:val="1"/>
        <w:spacing w:beforeLines="100" w:before="326" w:afterLines="50" w:after="163" w:line="240" w:lineRule="auto"/>
        <w:ind w:left="0" w:rightChars="0" w:right="0" w:firstLine="0"/>
        <w:rPr>
          <w:rFonts w:ascii="黑体" w:eastAsia="黑体" w:hAnsi="黑体"/>
          <w:sz w:val="32"/>
          <w:szCs w:val="32"/>
        </w:rPr>
      </w:pPr>
      <w:bookmarkStart w:id="1" w:name="_Toc438051748"/>
      <w:r>
        <w:rPr>
          <w:rFonts w:ascii="黑体" w:eastAsia="黑体" w:hAnsi="黑体" w:hint="eastAsia"/>
          <w:sz w:val="32"/>
          <w:szCs w:val="32"/>
        </w:rPr>
        <w:t>基金合同正文</w:t>
      </w:r>
      <w:bookmarkEnd w:id="1"/>
    </w:p>
    <w:p w:rsidR="00375B1F" w:rsidRDefault="00BA1C44">
      <w:pPr>
        <w:pStyle w:val="a"/>
        <w:spacing w:before="0" w:after="0"/>
        <w:rPr>
          <w:sz w:val="32"/>
        </w:rPr>
      </w:pPr>
      <w:bookmarkStart w:id="2" w:name="_Toc438051749"/>
      <w:r>
        <w:rPr>
          <w:rFonts w:hint="eastAsia"/>
          <w:sz w:val="32"/>
        </w:rPr>
        <w:t>前言</w:t>
      </w:r>
      <w:bookmarkEnd w:id="2"/>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基金合同应订明订立基金合同的目的、依据和原则。</w:t>
      </w:r>
    </w:p>
    <w:p w:rsidR="00375B1F" w:rsidRDefault="00BA1C44">
      <w:pPr>
        <w:pStyle w:val="a"/>
        <w:spacing w:before="0" w:after="0"/>
        <w:rPr>
          <w:sz w:val="32"/>
        </w:rPr>
      </w:pPr>
      <w:bookmarkStart w:id="3" w:name="_Toc438051750"/>
      <w:r>
        <w:rPr>
          <w:rFonts w:hint="eastAsia"/>
          <w:sz w:val="32"/>
        </w:rPr>
        <w:lastRenderedPageBreak/>
        <w:t>释义</w:t>
      </w:r>
      <w:bookmarkEnd w:id="3"/>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应对基金合同中具有特定法律含义的词汇</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明确的解释和说明。</w:t>
      </w:r>
    </w:p>
    <w:p w:rsidR="00375B1F" w:rsidRDefault="00BA1C44">
      <w:pPr>
        <w:pStyle w:val="a"/>
        <w:spacing w:before="0" w:after="0"/>
        <w:rPr>
          <w:sz w:val="32"/>
        </w:rPr>
      </w:pPr>
      <w:bookmarkStart w:id="4" w:name="_Toc413247780"/>
      <w:bookmarkStart w:id="5" w:name="_Toc438051751"/>
      <w:r>
        <w:rPr>
          <w:rFonts w:hint="eastAsia"/>
          <w:sz w:val="32"/>
        </w:rPr>
        <w:t>声明与承诺</w:t>
      </w:r>
      <w:bookmarkEnd w:id="4"/>
      <w:bookmarkEnd w:id="5"/>
    </w:p>
    <w:p w:rsidR="00375B1F" w:rsidRPr="00AB2CAE" w:rsidRDefault="00BA1C44">
      <w:pPr>
        <w:pStyle w:val="12"/>
        <w:numPr>
          <w:ilvl w:val="0"/>
          <w:numId w:val="3"/>
        </w:numPr>
        <w:spacing w:before="0" w:after="0"/>
        <w:ind w:left="0" w:rightChars="236" w:right="566" w:firstLineChars="202" w:firstLine="646"/>
        <w:rPr>
          <w:rFonts w:ascii="仿宋_GB2312" w:eastAsia="仿宋_GB2312" w:hAnsi="仿宋"/>
          <w:sz w:val="32"/>
          <w:szCs w:val="32"/>
        </w:rPr>
      </w:pPr>
      <w:r w:rsidRPr="00AB2CAE">
        <w:rPr>
          <w:rFonts w:ascii="仿宋_GB2312" w:eastAsia="仿宋_GB2312" w:hAnsi="仿宋"/>
          <w:sz w:val="32"/>
          <w:szCs w:val="32"/>
        </w:rPr>
        <w:t>订明</w:t>
      </w:r>
      <w:r w:rsidRPr="00AB2CAE">
        <w:rPr>
          <w:rFonts w:ascii="仿宋_GB2312" w:eastAsia="仿宋_GB2312" w:hAnsi="仿宋" w:hint="eastAsia"/>
          <w:sz w:val="32"/>
          <w:szCs w:val="32"/>
        </w:rPr>
        <w:t>私募基金管理人、私募基金托管人及私募基金投资者的声明与承诺，包括但不限于：</w:t>
      </w:r>
    </w:p>
    <w:p w:rsidR="00375B1F" w:rsidRDefault="00BA1C44">
      <w:pPr>
        <w:spacing w:before="0" w:after="0"/>
        <w:ind w:rightChars="236" w:right="566" w:firstLineChars="236" w:firstLine="755"/>
        <w:rPr>
          <w:rFonts w:ascii="宋体" w:hAnsi="宋体"/>
          <w:sz w:val="32"/>
          <w:szCs w:val="32"/>
        </w:rPr>
      </w:pPr>
      <w:r w:rsidRPr="00AB2CAE">
        <w:rPr>
          <w:rFonts w:ascii="仿宋_GB2312" w:eastAsia="仿宋_GB2312" w:hAnsi="仿宋" w:hint="eastAsia"/>
          <w:sz w:val="32"/>
          <w:szCs w:val="32"/>
        </w:rPr>
        <w:t>私募基金管理人保证在募集资金前已在</w:t>
      </w:r>
      <w:r w:rsidR="00FF505D">
        <w:rPr>
          <w:rFonts w:ascii="仿宋_GB2312" w:eastAsia="仿宋_GB2312" w:hAnsi="仿宋" w:hint="eastAsia"/>
          <w:sz w:val="32"/>
          <w:szCs w:val="32"/>
        </w:rPr>
        <w:t>中国基金业协会</w:t>
      </w:r>
      <w:r w:rsidRPr="00AB2CAE">
        <w:rPr>
          <w:rFonts w:ascii="仿宋_GB2312" w:eastAsia="仿宋_GB2312" w:hAnsi="仿宋" w:hint="eastAsia"/>
          <w:sz w:val="32"/>
          <w:szCs w:val="32"/>
        </w:rPr>
        <w:t>登记为私募基金管理人</w:t>
      </w:r>
      <w:r w:rsidRPr="00AB2CAE">
        <w:rPr>
          <w:rFonts w:ascii="仿宋_GB2312" w:eastAsia="仿宋_GB2312" w:hAnsi="仿宋"/>
          <w:sz w:val="32"/>
          <w:szCs w:val="32"/>
        </w:rPr>
        <w:t>,并列</w:t>
      </w:r>
      <w:proofErr w:type="gramStart"/>
      <w:r w:rsidRPr="00AB2CAE">
        <w:rPr>
          <w:rFonts w:ascii="仿宋_GB2312" w:eastAsia="仿宋_GB2312" w:hAnsi="仿宋" w:hint="eastAsia"/>
          <w:sz w:val="32"/>
          <w:szCs w:val="32"/>
        </w:rPr>
        <w:t>明管理</w:t>
      </w:r>
      <w:proofErr w:type="gramEnd"/>
      <w:r w:rsidRPr="00AB2CAE">
        <w:rPr>
          <w:rFonts w:ascii="仿宋_GB2312" w:eastAsia="仿宋_GB2312" w:hAnsi="仿宋" w:hint="eastAsia"/>
          <w:sz w:val="32"/>
          <w:szCs w:val="32"/>
        </w:rPr>
        <w:t>人登记编码。私募基金管理人应当向投资者进一步声明，</w:t>
      </w:r>
      <w:r w:rsidR="00FF505D">
        <w:rPr>
          <w:rFonts w:ascii="仿宋_GB2312" w:eastAsia="仿宋_GB2312" w:hAnsi="仿宋" w:hint="eastAsia"/>
          <w:sz w:val="32"/>
          <w:szCs w:val="32"/>
        </w:rPr>
        <w:t>中国基金业协会</w:t>
      </w:r>
      <w:r w:rsidRPr="00AB2CAE">
        <w:rPr>
          <w:rFonts w:ascii="仿宋_GB2312" w:eastAsia="仿宋_GB2312" w:hAnsi="仿宋" w:hint="eastAsia"/>
          <w:sz w:val="32"/>
          <w:szCs w:val="32"/>
        </w:rPr>
        <w:t>为私募基金管理人和私募基金办理登记备案不构成对私募基金管理人投资能力、持续合</w:t>
      </w:r>
      <w:proofErr w:type="gramStart"/>
      <w:r w:rsidRPr="00AB2CAE">
        <w:rPr>
          <w:rFonts w:ascii="仿宋_GB2312" w:eastAsia="仿宋_GB2312" w:hAnsi="仿宋" w:hint="eastAsia"/>
          <w:sz w:val="32"/>
          <w:szCs w:val="32"/>
        </w:rPr>
        <w:t>规</w:t>
      </w:r>
      <w:proofErr w:type="gramEnd"/>
      <w:r w:rsidRPr="00AB2CAE">
        <w:rPr>
          <w:rFonts w:ascii="仿宋_GB2312" w:eastAsia="仿宋_GB2312" w:hAnsi="仿宋" w:hint="eastAsia"/>
          <w:sz w:val="32"/>
          <w:szCs w:val="32"/>
        </w:rPr>
        <w:t>情况的认可；不作为对基金财产安全的保证。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w:t>
      </w:r>
      <w:proofErr w:type="gramStart"/>
      <w:r w:rsidRPr="00AB2CAE">
        <w:rPr>
          <w:rFonts w:ascii="仿宋_GB2312" w:eastAsia="仿宋_GB2312" w:hAnsi="仿宋" w:hint="eastAsia"/>
          <w:sz w:val="32"/>
          <w:szCs w:val="32"/>
        </w:rPr>
        <w:t>作出</w:t>
      </w:r>
      <w:proofErr w:type="gramEnd"/>
      <w:r w:rsidRPr="00AB2CAE">
        <w:rPr>
          <w:rFonts w:ascii="仿宋_GB2312" w:eastAsia="仿宋_GB2312" w:hAnsi="仿宋" w:hint="eastAsia"/>
          <w:sz w:val="32"/>
          <w:szCs w:val="32"/>
        </w:rPr>
        <w:t>承诺。</w:t>
      </w:r>
    </w:p>
    <w:p w:rsidR="00375B1F" w:rsidRPr="00AB2CAE" w:rsidRDefault="00BA1C44">
      <w:pPr>
        <w:spacing w:before="0" w:after="0"/>
        <w:ind w:rightChars="236" w:right="566" w:firstLineChars="236" w:firstLine="755"/>
        <w:rPr>
          <w:rFonts w:ascii="仿宋_GB2312" w:eastAsia="仿宋_GB2312" w:hAnsi="仿宋"/>
          <w:sz w:val="32"/>
          <w:szCs w:val="32"/>
        </w:rPr>
      </w:pPr>
      <w:r w:rsidRPr="00AB2CAE">
        <w:rPr>
          <w:rFonts w:ascii="仿宋_GB2312" w:eastAsia="仿宋_GB2312" w:hAnsi="仿宋" w:hint="eastAsia"/>
          <w:sz w:val="32"/>
          <w:szCs w:val="32"/>
        </w:rPr>
        <w:t>私募基金托管人承诺按照恪尽职守、诚实信用、谨慎勤勉的原则安全保管基金财产，并履行本合同约定的其他义务。</w:t>
      </w:r>
    </w:p>
    <w:p w:rsidR="00375B1F" w:rsidRDefault="00BA1C44">
      <w:pPr>
        <w:spacing w:before="0" w:after="0"/>
        <w:ind w:rightChars="236" w:right="566" w:firstLineChars="236" w:firstLine="755"/>
        <w:rPr>
          <w:rFonts w:ascii="宋体" w:hAnsi="宋体"/>
          <w:sz w:val="32"/>
          <w:szCs w:val="32"/>
        </w:rPr>
      </w:pPr>
      <w:r w:rsidRPr="00AB2CAE">
        <w:rPr>
          <w:rFonts w:ascii="仿宋_GB2312" w:eastAsia="仿宋_GB2312" w:hAnsi="仿宋" w:hint="eastAsia"/>
          <w:sz w:val="32"/>
          <w:szCs w:val="32"/>
        </w:rPr>
        <w:t>私募基金投资者声明其</w:t>
      </w:r>
      <w:r w:rsidRPr="00AB2CAE">
        <w:rPr>
          <w:rFonts w:ascii="仿宋_GB2312" w:eastAsia="仿宋_GB2312" w:hAnsi="仿宋"/>
          <w:sz w:val="32"/>
          <w:szCs w:val="32"/>
        </w:rPr>
        <w:t>为符合</w:t>
      </w:r>
      <w:r w:rsidRPr="00AB2CAE">
        <w:rPr>
          <w:rFonts w:ascii="仿宋_GB2312" w:eastAsia="仿宋_GB2312" w:hAnsi="仿宋" w:hint="eastAsia"/>
          <w:sz w:val="32"/>
          <w:szCs w:val="32"/>
        </w:rPr>
        <w:t>《暂行办法》</w:t>
      </w:r>
      <w:r w:rsidRPr="00AB2CAE">
        <w:rPr>
          <w:rFonts w:ascii="仿宋_GB2312" w:eastAsia="仿宋_GB2312" w:hAnsi="仿宋"/>
          <w:sz w:val="32"/>
          <w:szCs w:val="32"/>
        </w:rPr>
        <w:t>规定的合格投资者</w:t>
      </w:r>
      <w:r w:rsidRPr="00AB2CAE">
        <w:rPr>
          <w:rFonts w:ascii="仿宋_GB2312" w:eastAsia="仿宋_GB2312" w:hAnsi="仿宋" w:hint="eastAsia"/>
          <w:sz w:val="32"/>
          <w:szCs w:val="32"/>
        </w:rPr>
        <w:t>并按《暂行办法》的要求披露到最终的投资者</w:t>
      </w:r>
      <w:r w:rsidRPr="00AB2CAE">
        <w:rPr>
          <w:rFonts w:ascii="仿宋_GB2312" w:eastAsia="仿宋_GB2312" w:hAnsi="仿宋"/>
          <w:sz w:val="32"/>
          <w:szCs w:val="32"/>
        </w:rPr>
        <w:t>，</w:t>
      </w:r>
      <w:r w:rsidRPr="00AB2CAE">
        <w:rPr>
          <w:rFonts w:ascii="仿宋_GB2312" w:eastAsia="仿宋_GB2312" w:hAnsi="仿宋" w:hint="eastAsia"/>
          <w:sz w:val="32"/>
          <w:szCs w:val="32"/>
        </w:rPr>
        <w:t>保证财产的来源及用途符合国家有关规定，并已充分理解本合同</w:t>
      </w:r>
      <w:r w:rsidRPr="00AB2CAE">
        <w:rPr>
          <w:rFonts w:ascii="仿宋_GB2312" w:eastAsia="仿宋_GB2312" w:hAnsi="仿宋" w:hint="eastAsia"/>
          <w:sz w:val="32"/>
          <w:szCs w:val="32"/>
        </w:rPr>
        <w:lastRenderedPageBreak/>
        <w:t>条款，了解相关权利义务，了解有关法律法规及所投资基金的风险收益特征，愿意承担相应的投资风险，且投资事项符合其业务决策程序的要求；私募基金投资者承诺其向私募基金管理人提供的有关投资目的、投资偏好、投资限制、财产收入情况和风险承受能力等基本情况真实、完整、准确、合法，不存在任何重大遗漏或误导。前述信息资料如发生任何实质性变更，应当及时书面告知私募基金管理人或募集机构。私募基金投资者知晓，私募基金管理人、私募基金托管人及相关机构不应对基金财产的收益状况做出任何承诺或担保。</w:t>
      </w:r>
    </w:p>
    <w:p w:rsidR="00375B1F" w:rsidRDefault="00BA1C44">
      <w:pPr>
        <w:pStyle w:val="a"/>
        <w:spacing w:before="0" w:after="0"/>
        <w:rPr>
          <w:sz w:val="32"/>
        </w:rPr>
      </w:pPr>
      <w:bookmarkStart w:id="6" w:name="_Toc438051752"/>
      <w:r>
        <w:rPr>
          <w:rFonts w:hint="eastAsia"/>
          <w:sz w:val="32"/>
        </w:rPr>
        <w:t>私募基金的基本情况</w:t>
      </w:r>
      <w:bookmarkEnd w:id="6"/>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订明</w:t>
      </w:r>
      <w:r>
        <w:rPr>
          <w:rFonts w:ascii="仿宋_GB2312" w:eastAsia="仿宋_GB2312" w:hAnsi="仿宋" w:hint="eastAsia"/>
          <w:sz w:val="32"/>
          <w:szCs w:val="32"/>
        </w:rPr>
        <w:t>私募基金的基本情况：</w:t>
      </w:r>
    </w:p>
    <w:p w:rsidR="00375B1F" w:rsidRPr="00BD452B"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私募基金的名称；</w:t>
      </w:r>
    </w:p>
    <w:p w:rsidR="00375B1F" w:rsidRDefault="00BA1C44">
      <w:pPr>
        <w:pStyle w:val="12"/>
        <w:numPr>
          <w:ilvl w:val="0"/>
          <w:numId w:val="4"/>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私募基金的运作方式，具体载明封闭式、开放式或者其他方式；</w:t>
      </w:r>
    </w:p>
    <w:p w:rsidR="00375B1F" w:rsidRDefault="00BA1C44">
      <w:pPr>
        <w:pStyle w:val="12"/>
        <w:numPr>
          <w:ilvl w:val="0"/>
          <w:numId w:val="4"/>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私募基金的</w:t>
      </w:r>
      <w:r w:rsidRPr="00D05815">
        <w:rPr>
          <w:rFonts w:ascii="仿宋_GB2312" w:eastAsia="仿宋_GB2312" w:hAnsi="仿宋" w:hint="eastAsia"/>
          <w:sz w:val="32"/>
          <w:szCs w:val="32"/>
        </w:rPr>
        <w:t>计划募集总额</w:t>
      </w:r>
      <w:r>
        <w:rPr>
          <w:rFonts w:ascii="仿宋_GB2312" w:eastAsia="仿宋_GB2312" w:hAnsi="仿宋" w:hint="eastAsia"/>
          <w:sz w:val="32"/>
          <w:szCs w:val="32"/>
        </w:rPr>
        <w:t>；</w:t>
      </w:r>
    </w:p>
    <w:p w:rsidR="00375B1F"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私募基金的投资目标和投资范围；</w:t>
      </w:r>
    </w:p>
    <w:p w:rsidR="00375B1F"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私募基金的存续期限；</w:t>
      </w:r>
    </w:p>
    <w:p w:rsidR="00375B1F"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w:t>
      </w:r>
      <w:r w:rsidR="005D003F">
        <w:rPr>
          <w:rFonts w:ascii="仿宋_GB2312" w:eastAsia="仿宋_GB2312" w:hAnsi="仿宋" w:hint="eastAsia"/>
          <w:sz w:val="32"/>
          <w:szCs w:val="32"/>
        </w:rPr>
        <w:t>份额</w:t>
      </w:r>
      <w:r>
        <w:rPr>
          <w:rFonts w:ascii="仿宋_GB2312" w:eastAsia="仿宋_GB2312" w:hAnsi="仿宋" w:hint="eastAsia"/>
          <w:sz w:val="32"/>
          <w:szCs w:val="32"/>
        </w:rPr>
        <w:t>的初始</w:t>
      </w:r>
      <w:r w:rsidR="00E75F0F">
        <w:rPr>
          <w:rFonts w:ascii="仿宋_GB2312" w:eastAsia="仿宋_GB2312" w:hAnsi="仿宋" w:hint="eastAsia"/>
          <w:sz w:val="32"/>
          <w:szCs w:val="32"/>
        </w:rPr>
        <w:t>募集面</w:t>
      </w:r>
      <w:r w:rsidRPr="00D05815">
        <w:rPr>
          <w:rFonts w:ascii="仿宋_GB2312" w:eastAsia="仿宋_GB2312" w:hAnsi="仿宋" w:hint="eastAsia"/>
          <w:sz w:val="32"/>
          <w:szCs w:val="32"/>
        </w:rPr>
        <w:t>值</w:t>
      </w:r>
      <w:r>
        <w:rPr>
          <w:rFonts w:ascii="仿宋_GB2312" w:eastAsia="仿宋_GB2312" w:hAnsi="仿宋" w:hint="eastAsia"/>
          <w:sz w:val="32"/>
          <w:szCs w:val="32"/>
        </w:rPr>
        <w:t>；</w:t>
      </w:r>
    </w:p>
    <w:p w:rsidR="00375B1F"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私募基金的分级安排（如有）；</w:t>
      </w:r>
    </w:p>
    <w:p w:rsidR="00375B1F"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私募基金的托管事项（如有）；</w:t>
      </w:r>
    </w:p>
    <w:p w:rsidR="00375B1F" w:rsidRPr="00873796" w:rsidRDefault="00BA1C44" w:rsidP="00873796">
      <w:pPr>
        <w:pStyle w:val="12"/>
        <w:numPr>
          <w:ilvl w:val="0"/>
          <w:numId w:val="4"/>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私募基金的外包事项，</w:t>
      </w:r>
      <w:r>
        <w:rPr>
          <w:rFonts w:ascii="仿宋_GB2312" w:eastAsia="仿宋_GB2312" w:hAnsi="仿宋"/>
          <w:sz w:val="32"/>
          <w:szCs w:val="32"/>
        </w:rPr>
        <w:t>订明</w:t>
      </w:r>
      <w:r>
        <w:rPr>
          <w:rFonts w:ascii="仿宋_GB2312" w:eastAsia="仿宋_GB2312" w:hAnsi="仿宋" w:hint="eastAsia"/>
          <w:sz w:val="32"/>
          <w:szCs w:val="32"/>
        </w:rPr>
        <w:t>外包机构的名称和在</w:t>
      </w:r>
      <w:r w:rsidR="00FF505D">
        <w:rPr>
          <w:rFonts w:ascii="仿宋_GB2312" w:eastAsia="仿宋_GB2312" w:hAnsi="仿宋" w:hint="eastAsia"/>
          <w:sz w:val="32"/>
          <w:szCs w:val="32"/>
        </w:rPr>
        <w:t>中国基</w:t>
      </w:r>
      <w:r w:rsidR="00FF505D">
        <w:rPr>
          <w:rFonts w:ascii="仿宋_GB2312" w:eastAsia="仿宋_GB2312" w:hAnsi="仿宋" w:hint="eastAsia"/>
          <w:sz w:val="32"/>
          <w:szCs w:val="32"/>
        </w:rPr>
        <w:lastRenderedPageBreak/>
        <w:t>金业协会</w:t>
      </w:r>
      <w:r>
        <w:rPr>
          <w:rFonts w:ascii="仿宋_GB2312" w:eastAsia="仿宋_GB2312" w:hAnsi="仿宋" w:hint="eastAsia"/>
          <w:sz w:val="32"/>
          <w:szCs w:val="32"/>
        </w:rPr>
        <w:t>登记的外包业务登记编码（如有）；</w:t>
      </w:r>
    </w:p>
    <w:p w:rsidR="00E75F0F" w:rsidRDefault="008F51F0">
      <w:pPr>
        <w:pStyle w:val="12"/>
        <w:numPr>
          <w:ilvl w:val="0"/>
          <w:numId w:val="4"/>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对</w:t>
      </w:r>
      <w:r w:rsidR="00E75F0F">
        <w:rPr>
          <w:rFonts w:ascii="仿宋_GB2312" w:eastAsia="仿宋_GB2312" w:hAnsi="仿宋" w:hint="eastAsia"/>
          <w:sz w:val="32"/>
          <w:szCs w:val="32"/>
        </w:rPr>
        <w:t>基金中的基金（FOF）或管理人的管理人基金（MOM</w:t>
      </w:r>
      <w:r>
        <w:rPr>
          <w:rFonts w:ascii="仿宋_GB2312" w:eastAsia="仿宋_GB2312" w:hAnsi="仿宋" w:hint="eastAsia"/>
          <w:sz w:val="32"/>
          <w:szCs w:val="32"/>
        </w:rPr>
        <w:t>）进行</w:t>
      </w:r>
      <w:r w:rsidR="00E75F0F">
        <w:rPr>
          <w:rFonts w:ascii="仿宋_GB2312" w:eastAsia="仿宋_GB2312" w:hAnsi="仿宋" w:hint="eastAsia"/>
          <w:sz w:val="32"/>
          <w:szCs w:val="32"/>
        </w:rPr>
        <w:t>特别标识</w:t>
      </w:r>
      <w:r>
        <w:rPr>
          <w:rFonts w:ascii="仿宋_GB2312" w:eastAsia="仿宋_GB2312" w:hAnsi="仿宋" w:hint="eastAsia"/>
          <w:sz w:val="32"/>
          <w:szCs w:val="32"/>
        </w:rPr>
        <w:t>（如是）</w:t>
      </w:r>
      <w:r w:rsidR="00E75F0F">
        <w:rPr>
          <w:rFonts w:ascii="仿宋_GB2312" w:eastAsia="仿宋_GB2312" w:hAnsi="仿宋" w:hint="eastAsia"/>
          <w:sz w:val="32"/>
          <w:szCs w:val="32"/>
        </w:rPr>
        <w:t>；</w:t>
      </w:r>
    </w:p>
    <w:p w:rsidR="00375B1F" w:rsidRDefault="00BA1C44">
      <w:pPr>
        <w:pStyle w:val="12"/>
        <w:numPr>
          <w:ilvl w:val="0"/>
          <w:numId w:val="4"/>
        </w:numPr>
        <w:spacing w:before="0" w:after="0"/>
        <w:ind w:firstLineChars="0"/>
        <w:rPr>
          <w:rFonts w:ascii="仿宋_GB2312" w:eastAsia="仿宋_GB2312" w:hAnsi="仿宋"/>
          <w:sz w:val="32"/>
          <w:szCs w:val="32"/>
        </w:rPr>
      </w:pPr>
      <w:r>
        <w:rPr>
          <w:rFonts w:ascii="仿宋_GB2312" w:eastAsia="仿宋_GB2312" w:hAnsi="仿宋" w:hint="eastAsia"/>
          <w:sz w:val="32"/>
          <w:szCs w:val="32"/>
        </w:rPr>
        <w:t>其他需要</w:t>
      </w:r>
      <w:r>
        <w:rPr>
          <w:rFonts w:ascii="仿宋_GB2312" w:eastAsia="仿宋_GB2312" w:hAnsi="仿宋"/>
          <w:sz w:val="32"/>
          <w:szCs w:val="32"/>
        </w:rPr>
        <w:t>订明</w:t>
      </w:r>
      <w:r>
        <w:rPr>
          <w:rFonts w:ascii="仿宋_GB2312" w:eastAsia="仿宋_GB2312" w:hAnsi="仿宋" w:hint="eastAsia"/>
          <w:sz w:val="32"/>
          <w:szCs w:val="32"/>
        </w:rPr>
        <w:t>的内容。</w:t>
      </w:r>
    </w:p>
    <w:p w:rsidR="00375B1F" w:rsidRDefault="00BA1C44">
      <w:pPr>
        <w:pStyle w:val="a"/>
        <w:spacing w:before="0" w:after="0"/>
        <w:rPr>
          <w:sz w:val="32"/>
        </w:rPr>
      </w:pPr>
      <w:bookmarkStart w:id="7" w:name="_Toc438051753"/>
      <w:r>
        <w:rPr>
          <w:rFonts w:hint="eastAsia"/>
          <w:sz w:val="32"/>
        </w:rPr>
        <w:t>私募基金的募集</w:t>
      </w:r>
      <w:bookmarkEnd w:id="7"/>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订明私募基金募集的有关事项，包括但不限于：</w:t>
      </w:r>
    </w:p>
    <w:p w:rsidR="00375B1F" w:rsidRDefault="00BA1C44">
      <w:pPr>
        <w:pStyle w:val="12"/>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私募基金的募集对象、募集方式、募集期限；</w:t>
      </w:r>
    </w:p>
    <w:p w:rsidR="00375B1F" w:rsidRDefault="00BA1C44">
      <w:pPr>
        <w:pStyle w:val="12"/>
        <w:numPr>
          <w:ilvl w:val="0"/>
          <w:numId w:val="5"/>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私募基金的认购事项，包括私募基金合格投资者人数上限、认购费用、认购申请的确认、认购份额的计算方式、初始认购资金的管理及利息处理方式等；</w:t>
      </w:r>
    </w:p>
    <w:p w:rsidR="00375B1F" w:rsidRDefault="00BA1C44">
      <w:pPr>
        <w:pStyle w:val="12"/>
        <w:numPr>
          <w:ilvl w:val="0"/>
          <w:numId w:val="5"/>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私募基金份额认购款的金额、支付方式和支付期限等。</w:t>
      </w:r>
    </w:p>
    <w:p w:rsidR="00375B1F" w:rsidRDefault="00BA1C44">
      <w:pPr>
        <w:pStyle w:val="12"/>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其他事项。</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订明私募基金管理人应当将私募基金募集期间客户的资金存放于私募基金募集结算专用账户，</w:t>
      </w:r>
      <w:r>
        <w:rPr>
          <w:rFonts w:ascii="仿宋_GB2312" w:eastAsia="仿宋_GB2312" w:hAnsi="仿宋"/>
          <w:sz w:val="32"/>
          <w:szCs w:val="32"/>
        </w:rPr>
        <w:t>订明</w:t>
      </w:r>
      <w:r>
        <w:rPr>
          <w:rFonts w:ascii="仿宋_GB2312" w:eastAsia="仿宋_GB2312" w:hAnsi="仿宋" w:hint="eastAsia"/>
          <w:sz w:val="32"/>
          <w:szCs w:val="32"/>
        </w:rPr>
        <w:t>账户开户行、账户名称、账户号码等。</w:t>
      </w:r>
    </w:p>
    <w:p w:rsidR="00375B1F" w:rsidRDefault="00BA1C44">
      <w:pPr>
        <w:pStyle w:val="a"/>
        <w:spacing w:before="0" w:after="0"/>
        <w:rPr>
          <w:sz w:val="32"/>
        </w:rPr>
      </w:pPr>
      <w:bookmarkStart w:id="8" w:name="_Toc436208190"/>
      <w:bookmarkStart w:id="9" w:name="_Toc436493482"/>
      <w:bookmarkStart w:id="10" w:name="_Toc436496793"/>
      <w:bookmarkStart w:id="11" w:name="_Toc436641384"/>
      <w:bookmarkStart w:id="12" w:name="_Toc436666037"/>
      <w:bookmarkStart w:id="13" w:name="_Toc436667370"/>
      <w:bookmarkStart w:id="14" w:name="_Toc436669183"/>
      <w:bookmarkStart w:id="15" w:name="_Toc436669945"/>
      <w:bookmarkStart w:id="16" w:name="_Toc436672342"/>
      <w:bookmarkStart w:id="17" w:name="_Toc436752526"/>
      <w:bookmarkStart w:id="18" w:name="_Toc436817824"/>
      <w:bookmarkStart w:id="19" w:name="_Toc437344445"/>
      <w:bookmarkStart w:id="20" w:name="_Toc437348773"/>
      <w:bookmarkStart w:id="21" w:name="_Toc437525263"/>
      <w:bookmarkStart w:id="22" w:name="_Toc437529510"/>
      <w:bookmarkStart w:id="23" w:name="_Toc437531435"/>
      <w:bookmarkStart w:id="24" w:name="_Toc438051754"/>
      <w:bookmarkStart w:id="25" w:name="_Toc436208191"/>
      <w:bookmarkStart w:id="26" w:name="_Toc436493483"/>
      <w:bookmarkStart w:id="27" w:name="_Toc436496794"/>
      <w:bookmarkStart w:id="28" w:name="_Toc436641385"/>
      <w:bookmarkStart w:id="29" w:name="_Toc436666038"/>
      <w:bookmarkStart w:id="30" w:name="_Toc436667371"/>
      <w:bookmarkStart w:id="31" w:name="_Toc436669184"/>
      <w:bookmarkStart w:id="32" w:name="_Toc436669946"/>
      <w:bookmarkStart w:id="33" w:name="_Toc436672343"/>
      <w:bookmarkStart w:id="34" w:name="_Toc436752527"/>
      <w:bookmarkStart w:id="35" w:name="_Toc436817825"/>
      <w:bookmarkStart w:id="36" w:name="_Toc437344446"/>
      <w:bookmarkStart w:id="37" w:name="_Toc437348774"/>
      <w:bookmarkStart w:id="38" w:name="_Toc437525264"/>
      <w:bookmarkStart w:id="39" w:name="_Toc437529511"/>
      <w:bookmarkStart w:id="40" w:name="_Toc437531436"/>
      <w:bookmarkStart w:id="41" w:name="_Toc438051755"/>
      <w:bookmarkStart w:id="42" w:name="_Toc436208192"/>
      <w:bookmarkStart w:id="43" w:name="_Toc436493484"/>
      <w:bookmarkStart w:id="44" w:name="_Toc436496795"/>
      <w:bookmarkStart w:id="45" w:name="_Toc436641386"/>
      <w:bookmarkStart w:id="46" w:name="_Toc436666039"/>
      <w:bookmarkStart w:id="47" w:name="_Toc436667372"/>
      <w:bookmarkStart w:id="48" w:name="_Toc436669185"/>
      <w:bookmarkStart w:id="49" w:name="_Toc436669947"/>
      <w:bookmarkStart w:id="50" w:name="_Toc436672344"/>
      <w:bookmarkStart w:id="51" w:name="_Toc436752528"/>
      <w:bookmarkStart w:id="52" w:name="_Toc436817826"/>
      <w:bookmarkStart w:id="53" w:name="_Toc437344447"/>
      <w:bookmarkStart w:id="54" w:name="_Toc437348775"/>
      <w:bookmarkStart w:id="55" w:name="_Toc437525265"/>
      <w:bookmarkStart w:id="56" w:name="_Toc437529512"/>
      <w:bookmarkStart w:id="57" w:name="_Toc437531437"/>
      <w:bookmarkStart w:id="58" w:name="_Toc438051756"/>
      <w:bookmarkStart w:id="59" w:name="_Toc43805175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sz w:val="32"/>
        </w:rPr>
        <w:t>私募基金的成立与备案</w:t>
      </w:r>
      <w:bookmarkEnd w:id="59"/>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私募基金成立的有关事项，包括但不限于：</w:t>
      </w:r>
    </w:p>
    <w:p w:rsidR="00375B1F" w:rsidRDefault="00BA1C44">
      <w:pPr>
        <w:pStyle w:val="12"/>
        <w:numPr>
          <w:ilvl w:val="0"/>
          <w:numId w:val="6"/>
        </w:numPr>
        <w:spacing w:before="0" w:after="0"/>
        <w:ind w:firstLineChars="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私募基金合同签署的方式；</w:t>
      </w:r>
    </w:p>
    <w:p w:rsidR="00375B1F" w:rsidRDefault="00BA1C44">
      <w:pPr>
        <w:pStyle w:val="12"/>
        <w:numPr>
          <w:ilvl w:val="0"/>
          <w:numId w:val="6"/>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私募基金成立的条件；</w:t>
      </w:r>
    </w:p>
    <w:p w:rsidR="00375B1F" w:rsidRDefault="00BA1C44">
      <w:pPr>
        <w:pStyle w:val="12"/>
        <w:numPr>
          <w:ilvl w:val="0"/>
          <w:numId w:val="6"/>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私募基金募集失败的处理方式。</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私募基金应当按照规定向</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履行基</w:t>
      </w:r>
      <w:r>
        <w:rPr>
          <w:rFonts w:ascii="仿宋_GB2312" w:eastAsia="仿宋_GB2312" w:hAnsi="仿宋" w:hint="eastAsia"/>
          <w:sz w:val="32"/>
          <w:szCs w:val="32"/>
        </w:rPr>
        <w:lastRenderedPageBreak/>
        <w:t>金备案手续。基金合同中应约定私募基金在</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完成备案后方可进行投资运作。</w:t>
      </w:r>
    </w:p>
    <w:p w:rsidR="00375B1F" w:rsidRDefault="00BA1C44">
      <w:pPr>
        <w:pStyle w:val="a"/>
        <w:spacing w:before="0" w:after="0"/>
        <w:rPr>
          <w:sz w:val="32"/>
        </w:rPr>
      </w:pPr>
      <w:bookmarkStart w:id="60" w:name="_Toc438051758"/>
      <w:r>
        <w:rPr>
          <w:rFonts w:hint="eastAsia"/>
          <w:sz w:val="32"/>
        </w:rPr>
        <w:t>私募基金的申购、赎回与转让</w:t>
      </w:r>
      <w:bookmarkEnd w:id="60"/>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订明私募基金运作期间，私募基金投资者申购和赎回私募基金的有关事项，包括但不限于：</w:t>
      </w:r>
    </w:p>
    <w:p w:rsidR="00375B1F" w:rsidRDefault="00BA1C44">
      <w:pPr>
        <w:pStyle w:val="12"/>
        <w:numPr>
          <w:ilvl w:val="0"/>
          <w:numId w:val="7"/>
        </w:numPr>
        <w:spacing w:before="0" w:after="0"/>
        <w:ind w:firstLineChars="0"/>
        <w:rPr>
          <w:rFonts w:ascii="仿宋_GB2312" w:eastAsia="仿宋_GB2312" w:hAnsi="仿宋"/>
          <w:sz w:val="32"/>
          <w:szCs w:val="32"/>
        </w:rPr>
      </w:pPr>
      <w:r>
        <w:rPr>
          <w:rFonts w:ascii="仿宋_GB2312" w:eastAsia="仿宋_GB2312" w:hAnsi="仿宋" w:hint="eastAsia"/>
          <w:sz w:val="32"/>
          <w:szCs w:val="32"/>
        </w:rPr>
        <w:t>申购和赎回的开放日及时间；</w:t>
      </w:r>
    </w:p>
    <w:p w:rsidR="00375B1F" w:rsidRDefault="00BA1C44">
      <w:pPr>
        <w:pStyle w:val="12"/>
        <w:numPr>
          <w:ilvl w:val="0"/>
          <w:numId w:val="7"/>
        </w:numPr>
        <w:spacing w:before="0" w:after="0"/>
        <w:ind w:firstLineChars="0"/>
        <w:rPr>
          <w:rFonts w:ascii="仿宋_GB2312" w:eastAsia="仿宋_GB2312" w:hAnsi="仿宋"/>
          <w:sz w:val="32"/>
          <w:szCs w:val="32"/>
        </w:rPr>
      </w:pPr>
      <w:r>
        <w:rPr>
          <w:rFonts w:ascii="仿宋_GB2312" w:eastAsia="仿宋_GB2312" w:hAnsi="仿宋" w:hint="eastAsia"/>
          <w:sz w:val="32"/>
          <w:szCs w:val="32"/>
        </w:rPr>
        <w:t>申购和赎回的方式、价格、程序及确认等；</w:t>
      </w:r>
    </w:p>
    <w:p w:rsidR="00375B1F" w:rsidRDefault="00BA1C44">
      <w:pPr>
        <w:pStyle w:val="12"/>
        <w:numPr>
          <w:ilvl w:val="0"/>
          <w:numId w:val="7"/>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申购和赎回的金额限制。投资者在私募基金存续</w:t>
      </w:r>
      <w:proofErr w:type="gramStart"/>
      <w:r>
        <w:rPr>
          <w:rFonts w:ascii="仿宋_GB2312" w:eastAsia="仿宋_GB2312" w:hAnsi="仿宋" w:hint="eastAsia"/>
          <w:sz w:val="32"/>
          <w:szCs w:val="32"/>
        </w:rPr>
        <w:t>期开放日购买</w:t>
      </w:r>
      <w:proofErr w:type="gramEnd"/>
      <w:r>
        <w:rPr>
          <w:rFonts w:ascii="仿宋_GB2312" w:eastAsia="仿宋_GB2312" w:hAnsi="仿宋" w:hint="eastAsia"/>
          <w:sz w:val="32"/>
          <w:szCs w:val="32"/>
        </w:rPr>
        <w:t>私募基金份额的，购买金额应不低于100万元人民币且符合合格投资者标准，已持有私募基金份额的投资者在资产存续</w:t>
      </w:r>
      <w:proofErr w:type="gramStart"/>
      <w:r>
        <w:rPr>
          <w:rFonts w:ascii="仿宋_GB2312" w:eastAsia="仿宋_GB2312" w:hAnsi="仿宋" w:hint="eastAsia"/>
          <w:sz w:val="32"/>
          <w:szCs w:val="32"/>
        </w:rPr>
        <w:t>期开放</w:t>
      </w:r>
      <w:proofErr w:type="gramEnd"/>
      <w:r>
        <w:rPr>
          <w:rFonts w:ascii="仿宋_GB2312" w:eastAsia="仿宋_GB2312" w:hAnsi="仿宋" w:hint="eastAsia"/>
          <w:sz w:val="32"/>
          <w:szCs w:val="32"/>
        </w:rPr>
        <w:t>日追加购买基金份额的除外。投资者持有的基金资产净值高于100万元时，</w:t>
      </w:r>
      <w:r w:rsidR="00B87508">
        <w:rPr>
          <w:rFonts w:ascii="仿宋_GB2312" w:eastAsia="仿宋_GB2312" w:hAnsi="仿宋" w:hint="eastAsia"/>
          <w:sz w:val="32"/>
          <w:szCs w:val="32"/>
        </w:rPr>
        <w:t>可以</w:t>
      </w:r>
      <w:r>
        <w:rPr>
          <w:rFonts w:ascii="仿宋_GB2312" w:eastAsia="仿宋_GB2312" w:hAnsi="仿宋" w:hint="eastAsia"/>
          <w:sz w:val="32"/>
          <w:szCs w:val="32"/>
        </w:rPr>
        <w:t>选择部分赎回基金份额，投资者在赎回后持有的基金资产净值不得低于100万元</w:t>
      </w:r>
      <w:r w:rsidR="00B12FB4">
        <w:rPr>
          <w:rFonts w:ascii="仿宋_GB2312" w:eastAsia="仿宋_GB2312" w:hAnsi="仿宋" w:hint="eastAsia"/>
          <w:sz w:val="32"/>
          <w:szCs w:val="32"/>
        </w:rPr>
        <w:t>，</w:t>
      </w:r>
      <w:r>
        <w:rPr>
          <w:rFonts w:ascii="仿宋_GB2312" w:eastAsia="仿宋_GB2312" w:hAnsi="仿宋" w:hint="eastAsia"/>
          <w:sz w:val="32"/>
          <w:szCs w:val="32"/>
        </w:rPr>
        <w:t>投资者申请赎回基金份额时，其持有的基金资产净值低于100万元的，必须选择一次性赎回全部基金份额</w:t>
      </w:r>
      <w:r w:rsidR="00B12FB4">
        <w:rPr>
          <w:rFonts w:ascii="仿宋_GB2312" w:eastAsia="仿宋_GB2312" w:hAnsi="仿宋" w:hint="eastAsia"/>
          <w:sz w:val="32"/>
          <w:szCs w:val="32"/>
        </w:rPr>
        <w:t>。</w:t>
      </w:r>
    </w:p>
    <w:p w:rsidR="00375B1F" w:rsidRDefault="00BA1C44">
      <w:pPr>
        <w:pStyle w:val="12"/>
        <w:numPr>
          <w:ilvl w:val="0"/>
          <w:numId w:val="7"/>
        </w:numPr>
        <w:spacing w:before="0" w:after="0"/>
        <w:ind w:firstLineChars="0"/>
        <w:rPr>
          <w:rFonts w:ascii="仿宋_GB2312" w:eastAsia="仿宋_GB2312" w:hAnsi="仿宋"/>
          <w:sz w:val="32"/>
          <w:szCs w:val="32"/>
        </w:rPr>
      </w:pPr>
      <w:r>
        <w:rPr>
          <w:rFonts w:ascii="仿宋_GB2312" w:eastAsia="仿宋_GB2312" w:hAnsi="仿宋" w:hint="eastAsia"/>
          <w:sz w:val="32"/>
          <w:szCs w:val="32"/>
        </w:rPr>
        <w:t>申购和赎回的费用；</w:t>
      </w:r>
    </w:p>
    <w:p w:rsidR="00375B1F" w:rsidRPr="004F5763" w:rsidRDefault="00BA1C44">
      <w:pPr>
        <w:pStyle w:val="12"/>
        <w:numPr>
          <w:ilvl w:val="0"/>
          <w:numId w:val="7"/>
        </w:numPr>
        <w:spacing w:before="0" w:after="0"/>
        <w:ind w:firstLineChars="0"/>
        <w:rPr>
          <w:rFonts w:ascii="仿宋_GB2312" w:eastAsia="仿宋_GB2312" w:hAnsi="仿宋"/>
          <w:sz w:val="32"/>
          <w:szCs w:val="32"/>
        </w:rPr>
      </w:pPr>
      <w:r w:rsidRPr="004F5763">
        <w:rPr>
          <w:rFonts w:ascii="仿宋_GB2312" w:eastAsia="仿宋_GB2312" w:hAnsi="仿宋" w:hint="eastAsia"/>
          <w:sz w:val="32"/>
          <w:szCs w:val="32"/>
        </w:rPr>
        <w:t>申购份额的计算方式、赎回金额的计算方式；</w:t>
      </w:r>
    </w:p>
    <w:p w:rsidR="00375B1F" w:rsidRPr="00AB2CAE" w:rsidRDefault="00BA1C44">
      <w:pPr>
        <w:pStyle w:val="12"/>
        <w:numPr>
          <w:ilvl w:val="0"/>
          <w:numId w:val="7"/>
        </w:numPr>
        <w:spacing w:before="0" w:after="0"/>
        <w:ind w:firstLineChars="0"/>
        <w:rPr>
          <w:rFonts w:ascii="仿宋_GB2312" w:eastAsia="仿宋_GB2312" w:hAnsi="仿宋"/>
          <w:sz w:val="32"/>
          <w:szCs w:val="32"/>
        </w:rPr>
      </w:pPr>
      <w:r w:rsidRPr="00AB2CAE">
        <w:rPr>
          <w:rFonts w:ascii="仿宋_GB2312" w:eastAsia="仿宋_GB2312" w:hAnsi="仿宋" w:hint="eastAsia"/>
          <w:sz w:val="32"/>
          <w:szCs w:val="32"/>
        </w:rPr>
        <w:t>申购资金的利息处理方式；</w:t>
      </w:r>
    </w:p>
    <w:p w:rsidR="00375B1F" w:rsidRDefault="00BA1C44">
      <w:pPr>
        <w:pStyle w:val="12"/>
        <w:numPr>
          <w:ilvl w:val="0"/>
          <w:numId w:val="7"/>
        </w:numPr>
        <w:spacing w:before="0" w:after="0"/>
        <w:ind w:firstLineChars="0"/>
        <w:rPr>
          <w:rFonts w:ascii="仿宋_GB2312" w:eastAsia="仿宋_GB2312" w:hAnsi="仿宋"/>
          <w:sz w:val="32"/>
          <w:szCs w:val="32"/>
        </w:rPr>
      </w:pPr>
      <w:r>
        <w:rPr>
          <w:rFonts w:ascii="仿宋_GB2312" w:eastAsia="仿宋_GB2312" w:hAnsi="仿宋" w:hint="eastAsia"/>
          <w:sz w:val="32"/>
          <w:szCs w:val="32"/>
        </w:rPr>
        <w:t>拒绝或</w:t>
      </w:r>
      <w:proofErr w:type="gramStart"/>
      <w:r>
        <w:rPr>
          <w:rFonts w:ascii="仿宋_GB2312" w:eastAsia="仿宋_GB2312" w:hAnsi="仿宋" w:hint="eastAsia"/>
          <w:sz w:val="32"/>
          <w:szCs w:val="32"/>
        </w:rPr>
        <w:t>暂停申赎的</w:t>
      </w:r>
      <w:proofErr w:type="gramEnd"/>
      <w:r>
        <w:rPr>
          <w:rFonts w:ascii="仿宋_GB2312" w:eastAsia="仿宋_GB2312" w:hAnsi="仿宋" w:hint="eastAsia"/>
          <w:sz w:val="32"/>
          <w:szCs w:val="32"/>
        </w:rPr>
        <w:t>情形及处理方式；</w:t>
      </w:r>
    </w:p>
    <w:p w:rsidR="00375B1F" w:rsidRDefault="00BA1C44">
      <w:pPr>
        <w:pStyle w:val="12"/>
        <w:numPr>
          <w:ilvl w:val="0"/>
          <w:numId w:val="7"/>
        </w:numPr>
        <w:spacing w:before="0" w:after="0"/>
        <w:ind w:firstLineChars="0"/>
        <w:rPr>
          <w:rFonts w:ascii="仿宋_GB2312" w:eastAsia="仿宋_GB2312" w:hAnsi="仿宋"/>
          <w:sz w:val="32"/>
          <w:szCs w:val="32"/>
        </w:rPr>
      </w:pPr>
      <w:r>
        <w:rPr>
          <w:rFonts w:ascii="仿宋_GB2312" w:eastAsia="仿宋_GB2312" w:hAnsi="仿宋" w:hint="eastAsia"/>
          <w:sz w:val="32"/>
          <w:szCs w:val="32"/>
        </w:rPr>
        <w:t>其他事项。</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基金合同中可以约定</w:t>
      </w:r>
      <w:r w:rsidR="005A3BAF">
        <w:rPr>
          <w:rFonts w:ascii="仿宋_GB2312" w:eastAsia="仿宋_GB2312" w:hAnsi="仿宋" w:hint="eastAsia"/>
          <w:sz w:val="32"/>
          <w:szCs w:val="32"/>
        </w:rPr>
        <w:t>基金份额持有人之间，以及</w:t>
      </w:r>
      <w:r w:rsidR="005A3BAF">
        <w:rPr>
          <w:rFonts w:ascii="仿宋_GB2312" w:eastAsia="仿宋_GB2312" w:hAnsi="仿宋" w:hint="eastAsia"/>
          <w:sz w:val="32"/>
          <w:szCs w:val="32"/>
        </w:rPr>
        <w:lastRenderedPageBreak/>
        <w:t>基金份额持有人向其他</w:t>
      </w:r>
      <w:r>
        <w:rPr>
          <w:rFonts w:ascii="仿宋_GB2312" w:eastAsia="仿宋_GB2312" w:hAnsi="仿宋" w:hint="eastAsia"/>
          <w:sz w:val="32"/>
          <w:szCs w:val="32"/>
        </w:rPr>
        <w:t>合格投资者转让基金份额的方式和程序。转让</w:t>
      </w:r>
      <w:r w:rsidR="005A3BAF">
        <w:rPr>
          <w:rFonts w:ascii="仿宋_GB2312" w:eastAsia="仿宋_GB2312" w:hAnsi="仿宋" w:hint="eastAsia"/>
          <w:sz w:val="32"/>
          <w:szCs w:val="32"/>
        </w:rPr>
        <w:t>期间及转让</w:t>
      </w:r>
      <w:r>
        <w:rPr>
          <w:rFonts w:ascii="仿宋_GB2312" w:eastAsia="仿宋_GB2312" w:hAnsi="仿宋" w:hint="eastAsia"/>
          <w:sz w:val="32"/>
          <w:szCs w:val="32"/>
        </w:rPr>
        <w:t>后，持有基金份额的合格投资者数量合计不得超过</w:t>
      </w:r>
      <w:r w:rsidR="00512DE1">
        <w:rPr>
          <w:rFonts w:ascii="仿宋_GB2312" w:eastAsia="仿宋_GB2312" w:hAnsi="仿宋" w:hint="eastAsia"/>
          <w:sz w:val="32"/>
          <w:szCs w:val="32"/>
        </w:rPr>
        <w:t>法定人数</w:t>
      </w:r>
      <w:r>
        <w:rPr>
          <w:rFonts w:ascii="仿宋_GB2312" w:eastAsia="仿宋_GB2312" w:hAnsi="仿宋" w:hint="eastAsia"/>
          <w:sz w:val="32"/>
          <w:szCs w:val="32"/>
        </w:rPr>
        <w:t>。</w:t>
      </w:r>
    </w:p>
    <w:p w:rsidR="00375B1F" w:rsidRDefault="00BA1C44">
      <w:pPr>
        <w:pStyle w:val="a"/>
        <w:spacing w:before="0" w:after="0"/>
        <w:rPr>
          <w:sz w:val="32"/>
        </w:rPr>
      </w:pPr>
      <w:bookmarkStart w:id="61" w:name="_Toc438051759"/>
      <w:r>
        <w:rPr>
          <w:rFonts w:hint="eastAsia"/>
          <w:sz w:val="32"/>
        </w:rPr>
        <w:t>当事人及权利义务</w:t>
      </w:r>
      <w:bookmarkEnd w:id="61"/>
    </w:p>
    <w:p w:rsidR="00375B1F" w:rsidRDefault="00BA1C44">
      <w:pPr>
        <w:pStyle w:val="12"/>
        <w:numPr>
          <w:ilvl w:val="0"/>
          <w:numId w:val="3"/>
        </w:numPr>
        <w:tabs>
          <w:tab w:val="left" w:pos="1843"/>
        </w:tabs>
        <w:spacing w:before="0" w:after="0"/>
        <w:ind w:left="0" w:firstLineChars="202" w:firstLine="646"/>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私募基金管理人、私募基金托管人及其他私募外包服务机构（如有）的基本情况，包括但不限于姓名/名称、住所、联系人、通讯地址、联系电话等信息。投资者基本情况可在基金合同签署页列示。</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说明私募基金应当设定为均等份额。除私募基金合同另有约定外，每份份额具有同等的合法权益。</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根据《暂行办法》及其他有关规定</w:t>
      </w:r>
      <w:r>
        <w:rPr>
          <w:rFonts w:ascii="仿宋_GB2312" w:eastAsia="仿宋_GB2312" w:hAnsi="仿宋"/>
          <w:sz w:val="32"/>
          <w:szCs w:val="32"/>
        </w:rPr>
        <w:t>订明</w:t>
      </w:r>
      <w:r>
        <w:rPr>
          <w:rFonts w:ascii="仿宋_GB2312" w:eastAsia="仿宋_GB2312" w:hAnsi="仿宋" w:hint="eastAsia"/>
          <w:sz w:val="32"/>
          <w:szCs w:val="32"/>
        </w:rPr>
        <w:t>私募基金管理人的权利，包括但不限于：</w:t>
      </w:r>
    </w:p>
    <w:p w:rsidR="00375B1F" w:rsidRDefault="00BA1C44">
      <w:pPr>
        <w:pStyle w:val="12"/>
        <w:numPr>
          <w:ilvl w:val="0"/>
          <w:numId w:val="8"/>
        </w:numPr>
        <w:spacing w:before="0" w:after="0"/>
        <w:ind w:firstLineChars="0"/>
        <w:rPr>
          <w:rFonts w:ascii="仿宋_GB2312" w:eastAsia="仿宋_GB2312" w:hAnsi="仿宋"/>
          <w:sz w:val="32"/>
          <w:szCs w:val="32"/>
        </w:rPr>
      </w:pPr>
      <w:r>
        <w:rPr>
          <w:rFonts w:ascii="仿宋_GB2312" w:eastAsia="仿宋_GB2312" w:hAnsi="仿宋" w:hint="eastAsia"/>
          <w:sz w:val="32"/>
          <w:szCs w:val="32"/>
        </w:rPr>
        <w:t>按照基金合同约定，独立管理和运用基金财产；</w:t>
      </w:r>
    </w:p>
    <w:p w:rsidR="00375B1F" w:rsidRDefault="00BA1C44">
      <w:pPr>
        <w:pStyle w:val="12"/>
        <w:numPr>
          <w:ilvl w:val="0"/>
          <w:numId w:val="8"/>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按照基金合同约定，及时、足额获得</w:t>
      </w:r>
      <w:r>
        <w:rPr>
          <w:rFonts w:ascii="仿宋_GB2312" w:eastAsia="仿宋_GB2312" w:hAnsi="仿宋"/>
          <w:sz w:val="32"/>
          <w:szCs w:val="32"/>
        </w:rPr>
        <w:t>私募</w:t>
      </w:r>
      <w:r>
        <w:rPr>
          <w:rFonts w:ascii="仿宋_GB2312" w:eastAsia="仿宋_GB2312" w:hAnsi="仿宋" w:hint="eastAsia"/>
          <w:sz w:val="32"/>
          <w:szCs w:val="32"/>
        </w:rPr>
        <w:t>基金管理人管理费用及业绩报酬（如有）；</w:t>
      </w:r>
    </w:p>
    <w:p w:rsidR="00375B1F" w:rsidRDefault="00BA1C44">
      <w:pPr>
        <w:pStyle w:val="12"/>
        <w:numPr>
          <w:ilvl w:val="0"/>
          <w:numId w:val="8"/>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按照有关规定和基金合同约定行使因基金财产投资所产生的权利；</w:t>
      </w:r>
    </w:p>
    <w:p w:rsidR="00375B1F" w:rsidRDefault="00BA1C44">
      <w:pPr>
        <w:pStyle w:val="12"/>
        <w:numPr>
          <w:ilvl w:val="0"/>
          <w:numId w:val="8"/>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根据基金合同及其他有关规定，监督</w:t>
      </w:r>
      <w:r>
        <w:rPr>
          <w:rFonts w:ascii="仿宋_GB2312" w:eastAsia="仿宋_GB2312" w:hAnsi="仿宋"/>
          <w:sz w:val="32"/>
          <w:szCs w:val="32"/>
        </w:rPr>
        <w:t>私募</w:t>
      </w:r>
      <w:r>
        <w:rPr>
          <w:rFonts w:ascii="仿宋_GB2312" w:eastAsia="仿宋_GB2312" w:hAnsi="仿宋" w:hint="eastAsia"/>
          <w:sz w:val="32"/>
          <w:szCs w:val="32"/>
        </w:rPr>
        <w:t>基金托管人,对于</w:t>
      </w:r>
      <w:r>
        <w:rPr>
          <w:rFonts w:ascii="仿宋_GB2312" w:eastAsia="仿宋_GB2312" w:hAnsi="仿宋"/>
          <w:sz w:val="32"/>
          <w:szCs w:val="32"/>
        </w:rPr>
        <w:t>私募</w:t>
      </w:r>
      <w:r>
        <w:rPr>
          <w:rFonts w:ascii="仿宋_GB2312" w:eastAsia="仿宋_GB2312" w:hAnsi="仿宋" w:hint="eastAsia"/>
          <w:sz w:val="32"/>
          <w:szCs w:val="32"/>
        </w:rPr>
        <w:t>基金托管人违反基金合同或有关法律法规规定、对基金财产及其他当事人的利益造成重大损失的，应当及时采取措施制止；</w:t>
      </w:r>
    </w:p>
    <w:p w:rsidR="00375B1F" w:rsidRDefault="00BA1C44">
      <w:pPr>
        <w:pStyle w:val="12"/>
        <w:numPr>
          <w:ilvl w:val="0"/>
          <w:numId w:val="8"/>
        </w:numPr>
        <w:spacing w:before="0" w:after="0"/>
        <w:ind w:left="0" w:firstLineChars="0" w:firstLine="485"/>
        <w:rPr>
          <w:rFonts w:ascii="仿宋_GB2312" w:eastAsia="仿宋_GB2312" w:hAnsi="仿宋"/>
          <w:sz w:val="32"/>
          <w:szCs w:val="32"/>
        </w:rPr>
      </w:pPr>
      <w:r>
        <w:rPr>
          <w:rFonts w:ascii="仿宋_GB2312" w:eastAsia="仿宋_GB2312" w:hAnsi="仿宋"/>
          <w:sz w:val="32"/>
          <w:szCs w:val="32"/>
        </w:rPr>
        <w:lastRenderedPageBreak/>
        <w:t>私募</w:t>
      </w:r>
      <w:r>
        <w:rPr>
          <w:rFonts w:ascii="仿宋_GB2312" w:eastAsia="仿宋_GB2312" w:hAnsi="仿宋" w:hint="eastAsia"/>
          <w:sz w:val="32"/>
          <w:szCs w:val="32"/>
        </w:rPr>
        <w:t>基金管理人为保护投资者权益，可以在法律法规规定范围内，根据市场情况对本基金的认购、申购业务规则（包括但不限于基金总规模、单个基金投资者首次认购、申购金额、每次申购金额及持有的本基金总金额限制等）进行调整；</w:t>
      </w:r>
    </w:p>
    <w:p w:rsidR="00375B1F" w:rsidRDefault="00BA1C44">
      <w:pPr>
        <w:pStyle w:val="12"/>
        <w:numPr>
          <w:ilvl w:val="0"/>
          <w:numId w:val="8"/>
        </w:numPr>
        <w:spacing w:before="0" w:after="0"/>
        <w:ind w:left="0" w:firstLineChars="0" w:firstLine="485"/>
        <w:rPr>
          <w:rFonts w:ascii="仿宋_GB2312" w:eastAsia="仿宋_GB2312" w:hAnsi="仿宋"/>
          <w:sz w:val="32"/>
          <w:szCs w:val="32"/>
        </w:rPr>
      </w:pPr>
      <w:r>
        <w:rPr>
          <w:rFonts w:ascii="仿宋_GB2312" w:eastAsia="仿宋_GB2312" w:hAnsi="仿宋" w:hint="eastAsia"/>
          <w:bCs/>
          <w:sz w:val="32"/>
          <w:szCs w:val="32"/>
        </w:rPr>
        <w:t>法律法规、中国证监会及</w:t>
      </w:r>
      <w:r w:rsidR="00FF505D">
        <w:rPr>
          <w:rFonts w:ascii="仿宋_GB2312" w:eastAsia="仿宋_GB2312" w:hAnsi="仿宋" w:hint="eastAsia"/>
          <w:bCs/>
          <w:sz w:val="32"/>
          <w:szCs w:val="32"/>
        </w:rPr>
        <w:t>中国基金业协会</w:t>
      </w:r>
      <w:r>
        <w:rPr>
          <w:rFonts w:ascii="仿宋_GB2312" w:eastAsia="仿宋_GB2312" w:hAnsi="仿宋" w:hint="eastAsia"/>
          <w:bCs/>
          <w:sz w:val="32"/>
          <w:szCs w:val="32"/>
        </w:rPr>
        <w:t>规定的和基金合同约定的其他权利</w:t>
      </w:r>
      <w:r>
        <w:rPr>
          <w:rFonts w:ascii="仿宋_GB2312" w:eastAsia="仿宋_GB2312" w:hAnsi="仿宋" w:hint="eastAsia"/>
          <w:sz w:val="32"/>
          <w:szCs w:val="32"/>
        </w:rPr>
        <w:t>。</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根据《暂行办法》及其他有关规定</w:t>
      </w:r>
      <w:r>
        <w:rPr>
          <w:rFonts w:ascii="仿宋_GB2312" w:eastAsia="仿宋_GB2312" w:hAnsi="仿宋"/>
          <w:sz w:val="32"/>
          <w:szCs w:val="32"/>
        </w:rPr>
        <w:t>订明</w:t>
      </w:r>
      <w:r>
        <w:rPr>
          <w:rFonts w:ascii="仿宋_GB2312" w:eastAsia="仿宋_GB2312" w:hAnsi="仿宋" w:hint="eastAsia"/>
          <w:sz w:val="32"/>
          <w:szCs w:val="32"/>
        </w:rPr>
        <w:t>私募基金管理人的义务，包括但不限于：</w:t>
      </w:r>
    </w:p>
    <w:p w:rsidR="00375B1F" w:rsidRDefault="00BA1C44">
      <w:pPr>
        <w:pStyle w:val="12"/>
        <w:numPr>
          <w:ilvl w:val="0"/>
          <w:numId w:val="9"/>
        </w:numPr>
        <w:spacing w:before="0" w:after="0"/>
        <w:ind w:firstLineChars="0"/>
        <w:rPr>
          <w:rFonts w:ascii="仿宋_GB2312" w:eastAsia="仿宋_GB2312" w:hAnsi="仿宋"/>
          <w:sz w:val="32"/>
          <w:szCs w:val="32"/>
        </w:rPr>
      </w:pPr>
      <w:r>
        <w:rPr>
          <w:rFonts w:ascii="仿宋_GB2312" w:eastAsia="仿宋_GB2312" w:hAnsi="仿宋" w:hint="eastAsia"/>
          <w:sz w:val="32"/>
          <w:szCs w:val="32"/>
        </w:rPr>
        <w:t>应当履行私募基金管理人登记和私募基金备案手续；</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按照诚实信用、勤勉尽责的原则履行受托人义务，管理和运用基金财产；</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制作调查问卷，对投资者的风险识别能力和风险承担能力进行评估，向符合法律法规规定的合格投资者非公开募集资金；</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制作风险揭示书，向投资者充分揭示相关风险；</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配备足够的具有专业能力的人员进行投资分析、决策，以专业化的经营方式管理和运作基金财产；</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建立健全内部制度，保证所管理的私募基金财产与其管理的其他基金财产和</w:t>
      </w:r>
      <w:r>
        <w:rPr>
          <w:rFonts w:ascii="仿宋_GB2312" w:eastAsia="仿宋_GB2312" w:hAnsi="仿宋"/>
          <w:sz w:val="32"/>
          <w:szCs w:val="32"/>
        </w:rPr>
        <w:t>私募</w:t>
      </w:r>
      <w:r>
        <w:rPr>
          <w:rFonts w:ascii="仿宋_GB2312" w:eastAsia="仿宋_GB2312" w:hAnsi="仿宋" w:hint="eastAsia"/>
          <w:sz w:val="32"/>
          <w:szCs w:val="32"/>
        </w:rPr>
        <w:t>基金管理人的固有财产相互独立，对所管理的不同财产分别管理，分别记账、分别投资；</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不得利用基金财产或者职务之便，为本人或者投资者以外的人牟取利益，进行利益输送；</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lastRenderedPageBreak/>
        <w:t>自行担任或者委托其他机构担任基金的基金份额登记机构，委托其他基金份额登记机构办理注册登记业务时，对基金份额登记机构的行为进行必要的监督；</w:t>
      </w:r>
    </w:p>
    <w:p w:rsidR="00375B1F" w:rsidRDefault="00BA1C44">
      <w:pPr>
        <w:pStyle w:val="12"/>
        <w:numPr>
          <w:ilvl w:val="0"/>
          <w:numId w:val="9"/>
        </w:numPr>
        <w:spacing w:before="0" w:after="0"/>
        <w:ind w:left="0" w:firstLineChars="0" w:firstLine="426"/>
        <w:rPr>
          <w:rFonts w:ascii="仿宋_GB2312" w:eastAsia="仿宋_GB2312" w:hAnsi="仿宋"/>
          <w:sz w:val="32"/>
          <w:szCs w:val="32"/>
        </w:rPr>
      </w:pPr>
      <w:r>
        <w:rPr>
          <w:rFonts w:ascii="仿宋_GB2312" w:eastAsia="仿宋_GB2312" w:hAnsi="仿宋" w:hint="eastAsia"/>
          <w:sz w:val="32"/>
          <w:szCs w:val="32"/>
        </w:rPr>
        <w:t>按照基金合同约定接受投资者和</w:t>
      </w:r>
      <w:r>
        <w:rPr>
          <w:rFonts w:ascii="仿宋_GB2312" w:eastAsia="仿宋_GB2312" w:hAnsi="仿宋"/>
          <w:sz w:val="32"/>
          <w:szCs w:val="32"/>
        </w:rPr>
        <w:t>私募</w:t>
      </w:r>
      <w:r>
        <w:rPr>
          <w:rFonts w:ascii="仿宋_GB2312" w:eastAsia="仿宋_GB2312" w:hAnsi="仿宋" w:hint="eastAsia"/>
          <w:sz w:val="32"/>
          <w:szCs w:val="32"/>
        </w:rPr>
        <w:t>基金托管人的监督；</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以</w:t>
      </w:r>
      <w:r>
        <w:rPr>
          <w:rFonts w:ascii="仿宋_GB2312" w:eastAsia="仿宋_GB2312" w:hAnsi="仿宋"/>
          <w:sz w:val="32"/>
          <w:szCs w:val="32"/>
        </w:rPr>
        <w:t>私募</w:t>
      </w:r>
      <w:r>
        <w:rPr>
          <w:rFonts w:ascii="仿宋_GB2312" w:eastAsia="仿宋_GB2312" w:hAnsi="仿宋" w:hint="eastAsia"/>
          <w:sz w:val="32"/>
          <w:szCs w:val="32"/>
        </w:rPr>
        <w:t>基金管理人的名义，代表投资者利益行使诉讼权利或者实施其他法律行为；</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按照基金合同约定负责私募基金会计核算并编制基金财务会计报告；</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按照基金合同约定计算并向投资者报告基金份额净值；</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根据法律法规与基金合同的规定，对投资者进行必要的信息披露，揭示私募基金资产运作情况，包括编制和向投资者提供基金定期报告；</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确定私募基金份额申购、赎回价格，采取适当、合理的措施确定基金份额交易价格的计算方法符合法律法规的规定和合同的约定；</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按照基金合同约定负责私募基金会计核算并编制基金财务会计报告；</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保守商业秘密，不得泄露私募基金的投资计划或意向等，法律法规另有规定的除外；</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lastRenderedPageBreak/>
        <w:t>保存私募基金投资业务活动的全部会计资料，并妥善保存有关的合同、交易记录及其他相关资料，保存期限自私</w:t>
      </w:r>
      <w:proofErr w:type="gramStart"/>
      <w:r>
        <w:rPr>
          <w:rFonts w:ascii="仿宋_GB2312" w:eastAsia="仿宋_GB2312" w:hAnsi="仿宋" w:hint="eastAsia"/>
          <w:sz w:val="32"/>
          <w:szCs w:val="32"/>
        </w:rPr>
        <w:t>募</w:t>
      </w:r>
      <w:proofErr w:type="gramEnd"/>
      <w:r>
        <w:rPr>
          <w:rFonts w:ascii="仿宋_GB2312" w:eastAsia="仿宋_GB2312" w:hAnsi="仿宋" w:hint="eastAsia"/>
          <w:sz w:val="32"/>
          <w:szCs w:val="32"/>
        </w:rPr>
        <w:t>基金清算终止之日起不得少于</w:t>
      </w:r>
      <w:r>
        <w:rPr>
          <w:rFonts w:ascii="仿宋_GB2312" w:eastAsia="仿宋_GB2312" w:hAnsi="仿宋"/>
          <w:sz w:val="32"/>
          <w:szCs w:val="32"/>
        </w:rPr>
        <w:t>10年</w:t>
      </w:r>
      <w:r>
        <w:rPr>
          <w:rFonts w:ascii="仿宋_GB2312" w:eastAsia="仿宋_GB2312" w:hAnsi="仿宋" w:hint="eastAsia"/>
          <w:sz w:val="32"/>
          <w:szCs w:val="32"/>
        </w:rPr>
        <w:t>；</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公平对待所管理的不同基金财产，不得从事任何有损基金财产及其他当事人利益的活动；</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按照基金合同的约定确定私募基金收益分配方案，及时向投资者分配收益；</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组织并参加基金财产清算小组，参与基金财产的保管、清理、估价、变现和分配；</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建立并保存投资者名册；</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面临解散、依法被撤销或者被依法宣告破产时，及时报告</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并通知</w:t>
      </w:r>
      <w:r>
        <w:rPr>
          <w:rFonts w:ascii="仿宋_GB2312" w:eastAsia="仿宋_GB2312" w:hAnsi="仿宋"/>
          <w:sz w:val="32"/>
          <w:szCs w:val="32"/>
        </w:rPr>
        <w:t>私募</w:t>
      </w:r>
      <w:r>
        <w:rPr>
          <w:rFonts w:ascii="仿宋_GB2312" w:eastAsia="仿宋_GB2312" w:hAnsi="仿宋" w:hint="eastAsia"/>
          <w:sz w:val="32"/>
          <w:szCs w:val="32"/>
        </w:rPr>
        <w:t>基金托管人和基金投资者；</w:t>
      </w:r>
    </w:p>
    <w:p w:rsidR="00375B1F" w:rsidRDefault="00BA1C44">
      <w:pPr>
        <w:pStyle w:val="12"/>
        <w:numPr>
          <w:ilvl w:val="0"/>
          <w:numId w:val="9"/>
        </w:numPr>
        <w:spacing w:before="0" w:after="0"/>
        <w:ind w:left="0" w:firstLineChars="0" w:firstLine="485"/>
        <w:rPr>
          <w:rFonts w:ascii="仿宋_GB2312" w:eastAsia="仿宋_GB2312" w:hAnsi="仿宋"/>
          <w:sz w:val="32"/>
          <w:szCs w:val="32"/>
        </w:rPr>
      </w:pPr>
      <w:r>
        <w:rPr>
          <w:rFonts w:ascii="仿宋_GB2312" w:eastAsia="仿宋_GB2312" w:hAnsi="仿宋" w:hint="eastAsia"/>
          <w:bCs/>
          <w:sz w:val="32"/>
          <w:szCs w:val="32"/>
        </w:rPr>
        <w:t>法律法规、中国证监会及</w:t>
      </w:r>
      <w:r w:rsidR="00FF505D">
        <w:rPr>
          <w:rFonts w:ascii="仿宋_GB2312" w:eastAsia="仿宋_GB2312" w:hAnsi="仿宋" w:hint="eastAsia"/>
          <w:bCs/>
          <w:sz w:val="32"/>
          <w:szCs w:val="32"/>
        </w:rPr>
        <w:t>中国基金业协会</w:t>
      </w:r>
      <w:r>
        <w:rPr>
          <w:rFonts w:ascii="仿宋_GB2312" w:eastAsia="仿宋_GB2312" w:hAnsi="仿宋" w:hint="eastAsia"/>
          <w:bCs/>
          <w:sz w:val="32"/>
          <w:szCs w:val="32"/>
        </w:rPr>
        <w:t>规定的和基金合同约定的其他义务</w:t>
      </w:r>
      <w:r>
        <w:rPr>
          <w:rFonts w:ascii="仿宋_GB2312" w:eastAsia="仿宋_GB2312" w:hAnsi="仿宋" w:hint="eastAsia"/>
          <w:sz w:val="32"/>
          <w:szCs w:val="32"/>
        </w:rPr>
        <w:t>。</w:t>
      </w:r>
    </w:p>
    <w:p w:rsidR="00375B1F" w:rsidRPr="00EB461A" w:rsidRDefault="000743E3" w:rsidP="00422B91">
      <w:pPr>
        <w:pStyle w:val="12"/>
        <w:numPr>
          <w:ilvl w:val="0"/>
          <w:numId w:val="3"/>
        </w:numPr>
        <w:spacing w:before="0" w:after="0"/>
        <w:ind w:left="0" w:firstLineChars="202" w:firstLine="646"/>
        <w:rPr>
          <w:rFonts w:ascii="仿宋_GB2312" w:eastAsia="仿宋_GB2312" w:hAnsi="仿宋"/>
          <w:bCs/>
          <w:sz w:val="32"/>
          <w:szCs w:val="32"/>
        </w:rPr>
      </w:pPr>
      <w:r>
        <w:rPr>
          <w:rFonts w:ascii="仿宋_GB2312" w:eastAsia="仿宋_GB2312" w:hAnsi="仿宋" w:hint="eastAsia"/>
          <w:bCs/>
          <w:sz w:val="32"/>
          <w:szCs w:val="32"/>
        </w:rPr>
        <w:t>两</w:t>
      </w:r>
      <w:r w:rsidR="00354BBF">
        <w:rPr>
          <w:rFonts w:ascii="仿宋_GB2312" w:eastAsia="仿宋_GB2312" w:hAnsi="仿宋" w:hint="eastAsia"/>
          <w:bCs/>
          <w:sz w:val="32"/>
          <w:szCs w:val="32"/>
        </w:rPr>
        <w:t>个</w:t>
      </w:r>
      <w:r w:rsidR="0037178B">
        <w:rPr>
          <w:rFonts w:ascii="仿宋_GB2312" w:eastAsia="仿宋_GB2312" w:hAnsi="仿宋" w:hint="eastAsia"/>
          <w:bCs/>
          <w:sz w:val="32"/>
          <w:szCs w:val="32"/>
        </w:rPr>
        <w:t>以上</w:t>
      </w:r>
      <w:r>
        <w:rPr>
          <w:rFonts w:ascii="仿宋_GB2312" w:eastAsia="仿宋_GB2312" w:hAnsi="仿宋" w:hint="eastAsia"/>
          <w:bCs/>
          <w:sz w:val="32"/>
          <w:szCs w:val="32"/>
        </w:rPr>
        <w:t>（含两</w:t>
      </w:r>
      <w:r w:rsidR="00354BBF">
        <w:rPr>
          <w:rFonts w:ascii="仿宋_GB2312" w:eastAsia="仿宋_GB2312" w:hAnsi="仿宋" w:hint="eastAsia"/>
          <w:bCs/>
          <w:sz w:val="32"/>
          <w:szCs w:val="32"/>
        </w:rPr>
        <w:t>个</w:t>
      </w:r>
      <w:r>
        <w:rPr>
          <w:rFonts w:ascii="仿宋_GB2312" w:eastAsia="仿宋_GB2312" w:hAnsi="仿宋" w:hint="eastAsia"/>
          <w:bCs/>
          <w:sz w:val="32"/>
          <w:szCs w:val="32"/>
        </w:rPr>
        <w:t>）</w:t>
      </w:r>
      <w:r w:rsidR="0037178B">
        <w:rPr>
          <w:rFonts w:ascii="仿宋_GB2312" w:eastAsia="仿宋_GB2312" w:hAnsi="仿宋" w:hint="eastAsia"/>
          <w:bCs/>
          <w:sz w:val="32"/>
          <w:szCs w:val="32"/>
        </w:rPr>
        <w:t>管理人</w:t>
      </w:r>
      <w:r>
        <w:rPr>
          <w:rFonts w:ascii="仿宋_GB2312" w:eastAsia="仿宋_GB2312" w:hAnsi="仿宋" w:hint="eastAsia"/>
          <w:bCs/>
          <w:sz w:val="32"/>
          <w:szCs w:val="32"/>
        </w:rPr>
        <w:t>共同管理私募基金的，所有管理人</w:t>
      </w:r>
      <w:r w:rsidR="00422B91">
        <w:rPr>
          <w:rFonts w:ascii="仿宋_GB2312" w:eastAsia="仿宋_GB2312" w:hAnsi="仿宋" w:hint="eastAsia"/>
          <w:bCs/>
          <w:sz w:val="32"/>
          <w:szCs w:val="32"/>
        </w:rPr>
        <w:t>对投资者承担连带责任。管理人之间的责任划分</w:t>
      </w:r>
      <w:r>
        <w:rPr>
          <w:rFonts w:ascii="仿宋_GB2312" w:eastAsia="仿宋_GB2312" w:hAnsi="仿宋" w:hint="eastAsia"/>
          <w:bCs/>
          <w:sz w:val="32"/>
          <w:szCs w:val="32"/>
        </w:rPr>
        <w:t>由合同进行约定</w:t>
      </w:r>
      <w:r w:rsidR="00422B91">
        <w:rPr>
          <w:rFonts w:ascii="仿宋_GB2312" w:eastAsia="仿宋_GB2312" w:hAnsi="仿宋" w:hint="eastAsia"/>
          <w:bCs/>
          <w:sz w:val="32"/>
          <w:szCs w:val="32"/>
        </w:rPr>
        <w:t>，</w:t>
      </w:r>
      <w:r>
        <w:rPr>
          <w:rFonts w:ascii="仿宋_GB2312" w:eastAsia="仿宋_GB2312" w:hAnsi="仿宋" w:hint="eastAsia"/>
          <w:bCs/>
          <w:sz w:val="32"/>
          <w:szCs w:val="32"/>
        </w:rPr>
        <w:t>合同未约定或约定不清的，</w:t>
      </w:r>
      <w:r w:rsidR="00422B91">
        <w:rPr>
          <w:rFonts w:ascii="仿宋_GB2312" w:eastAsia="仿宋_GB2312" w:hAnsi="仿宋" w:hint="eastAsia"/>
          <w:bCs/>
          <w:sz w:val="32"/>
          <w:szCs w:val="32"/>
        </w:rPr>
        <w:t>各管理人平均分担责任。</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根据《暂行办法》及其他有关规定</w:t>
      </w:r>
      <w:r>
        <w:rPr>
          <w:rFonts w:ascii="仿宋_GB2312" w:eastAsia="仿宋_GB2312" w:hAnsi="仿宋"/>
          <w:sz w:val="32"/>
          <w:szCs w:val="32"/>
        </w:rPr>
        <w:t>订明</w:t>
      </w:r>
      <w:r>
        <w:rPr>
          <w:rFonts w:ascii="仿宋_GB2312" w:eastAsia="仿宋_GB2312" w:hAnsi="仿宋" w:hint="eastAsia"/>
          <w:sz w:val="32"/>
          <w:szCs w:val="32"/>
        </w:rPr>
        <w:t>私募基金托管人的权利，包括但不限于：</w:t>
      </w:r>
    </w:p>
    <w:p w:rsidR="00375B1F" w:rsidRDefault="00BA1C44">
      <w:pPr>
        <w:pStyle w:val="12"/>
        <w:numPr>
          <w:ilvl w:val="0"/>
          <w:numId w:val="10"/>
        </w:numPr>
        <w:spacing w:before="0" w:after="0"/>
        <w:ind w:firstLineChars="0"/>
        <w:rPr>
          <w:rFonts w:ascii="仿宋_GB2312" w:eastAsia="仿宋_GB2312" w:hAnsi="仿宋"/>
          <w:sz w:val="32"/>
          <w:szCs w:val="32"/>
        </w:rPr>
      </w:pPr>
      <w:r>
        <w:rPr>
          <w:rFonts w:ascii="仿宋_GB2312" w:eastAsia="仿宋_GB2312" w:hAnsi="仿宋" w:hint="eastAsia"/>
          <w:sz w:val="32"/>
          <w:szCs w:val="32"/>
        </w:rPr>
        <w:t>按照合同的约定，及时、足额获得私募基金托管费用；</w:t>
      </w:r>
    </w:p>
    <w:p w:rsidR="00375B1F" w:rsidRDefault="00BA1C44">
      <w:pPr>
        <w:pStyle w:val="12"/>
        <w:numPr>
          <w:ilvl w:val="0"/>
          <w:numId w:val="10"/>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lastRenderedPageBreak/>
        <w:t>依据法律法规规定和合同约定，监督</w:t>
      </w:r>
      <w:r>
        <w:rPr>
          <w:rFonts w:ascii="仿宋_GB2312" w:eastAsia="仿宋_GB2312" w:hAnsi="仿宋"/>
          <w:sz w:val="32"/>
          <w:szCs w:val="32"/>
        </w:rPr>
        <w:t>私募基金管理人</w:t>
      </w:r>
      <w:r>
        <w:rPr>
          <w:rFonts w:ascii="仿宋_GB2312" w:eastAsia="仿宋_GB2312" w:hAnsi="仿宋" w:hint="eastAsia"/>
          <w:sz w:val="32"/>
          <w:szCs w:val="32"/>
        </w:rPr>
        <w:t>对基金财产的投资运作，对于</w:t>
      </w:r>
      <w:r>
        <w:rPr>
          <w:rFonts w:ascii="仿宋_GB2312" w:eastAsia="仿宋_GB2312" w:hAnsi="仿宋"/>
          <w:sz w:val="32"/>
          <w:szCs w:val="32"/>
        </w:rPr>
        <w:t>私募</w:t>
      </w:r>
      <w:r>
        <w:rPr>
          <w:rFonts w:ascii="仿宋_GB2312" w:eastAsia="仿宋_GB2312" w:hAnsi="仿宋" w:hint="eastAsia"/>
          <w:sz w:val="32"/>
          <w:szCs w:val="32"/>
        </w:rPr>
        <w:t>基金管理人违反法律法规规定和合同约定、对基金财产及其他当事人的利益造成重大损失的情形，有权报告</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并采取必要措施；</w:t>
      </w:r>
    </w:p>
    <w:p w:rsidR="00375B1F" w:rsidRDefault="00BA1C44">
      <w:pPr>
        <w:pStyle w:val="12"/>
        <w:numPr>
          <w:ilvl w:val="0"/>
          <w:numId w:val="10"/>
        </w:numPr>
        <w:spacing w:before="0" w:after="0"/>
        <w:ind w:firstLineChars="0"/>
        <w:rPr>
          <w:rFonts w:ascii="仿宋_GB2312" w:eastAsia="仿宋_GB2312" w:hAnsi="仿宋"/>
          <w:sz w:val="32"/>
          <w:szCs w:val="32"/>
        </w:rPr>
      </w:pPr>
      <w:r>
        <w:rPr>
          <w:rFonts w:ascii="仿宋_GB2312" w:eastAsia="仿宋_GB2312" w:hAnsi="仿宋" w:hint="eastAsia"/>
          <w:sz w:val="32"/>
          <w:szCs w:val="32"/>
        </w:rPr>
        <w:t>按照基金合同约定，依法保管私募基金财产；</w:t>
      </w:r>
    </w:p>
    <w:p w:rsidR="00375B1F" w:rsidRDefault="00BA1C44">
      <w:pPr>
        <w:pStyle w:val="12"/>
        <w:numPr>
          <w:ilvl w:val="0"/>
          <w:numId w:val="10"/>
        </w:numPr>
        <w:spacing w:before="0" w:after="0"/>
        <w:ind w:left="0" w:firstLineChars="0" w:firstLine="426"/>
        <w:rPr>
          <w:rFonts w:ascii="仿宋_GB2312" w:eastAsia="仿宋_GB2312" w:hAnsi="仿宋"/>
          <w:sz w:val="32"/>
          <w:szCs w:val="32"/>
        </w:rPr>
      </w:pPr>
      <w:r>
        <w:rPr>
          <w:rFonts w:ascii="仿宋_GB2312" w:eastAsia="仿宋_GB2312" w:hAnsi="仿宋" w:hint="eastAsia"/>
          <w:bCs/>
          <w:sz w:val="32"/>
          <w:szCs w:val="32"/>
        </w:rPr>
        <w:t>法律法规、中国证监会及</w:t>
      </w:r>
      <w:r w:rsidR="00FF505D">
        <w:rPr>
          <w:rFonts w:ascii="仿宋_GB2312" w:eastAsia="仿宋_GB2312" w:hAnsi="仿宋" w:hint="eastAsia"/>
          <w:bCs/>
          <w:sz w:val="32"/>
          <w:szCs w:val="32"/>
        </w:rPr>
        <w:t>中国基金业协会</w:t>
      </w:r>
      <w:r>
        <w:rPr>
          <w:rFonts w:ascii="仿宋_GB2312" w:eastAsia="仿宋_GB2312" w:hAnsi="仿宋" w:hint="eastAsia"/>
          <w:bCs/>
          <w:sz w:val="32"/>
          <w:szCs w:val="32"/>
        </w:rPr>
        <w:t>规定的和基金合同约定的其他权利</w:t>
      </w:r>
      <w:r>
        <w:rPr>
          <w:rFonts w:ascii="仿宋_GB2312" w:eastAsia="仿宋_GB2312" w:hAnsi="仿宋" w:hint="eastAsia"/>
          <w:sz w:val="32"/>
          <w:szCs w:val="32"/>
        </w:rPr>
        <w:t>。</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根据《暂行办法》及其他有关规定</w:t>
      </w:r>
      <w:r>
        <w:rPr>
          <w:rFonts w:ascii="仿宋_GB2312" w:eastAsia="仿宋_GB2312" w:hAnsi="仿宋"/>
          <w:sz w:val="32"/>
          <w:szCs w:val="32"/>
        </w:rPr>
        <w:t>订明</w:t>
      </w:r>
      <w:r>
        <w:rPr>
          <w:rFonts w:ascii="仿宋_GB2312" w:eastAsia="仿宋_GB2312" w:hAnsi="仿宋" w:hint="eastAsia"/>
          <w:sz w:val="32"/>
          <w:szCs w:val="32"/>
        </w:rPr>
        <w:t>私募基金托管人的义务，包括但不限于：</w:t>
      </w:r>
    </w:p>
    <w:p w:rsidR="00375B1F" w:rsidRDefault="00BA1C44">
      <w:pPr>
        <w:pStyle w:val="12"/>
        <w:numPr>
          <w:ilvl w:val="0"/>
          <w:numId w:val="11"/>
        </w:numPr>
        <w:spacing w:before="0" w:after="0"/>
        <w:ind w:firstLineChars="0"/>
        <w:rPr>
          <w:rFonts w:ascii="仿宋_GB2312" w:eastAsia="仿宋_GB2312" w:hAnsi="仿宋"/>
          <w:sz w:val="32"/>
          <w:szCs w:val="32"/>
        </w:rPr>
      </w:pPr>
      <w:r>
        <w:rPr>
          <w:rFonts w:ascii="仿宋_GB2312" w:eastAsia="仿宋_GB2312" w:hAnsi="仿宋" w:hint="eastAsia"/>
          <w:sz w:val="32"/>
          <w:szCs w:val="32"/>
        </w:rPr>
        <w:t>安全保管基金财产；</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具有符合要求的营业场所，配备足够的、合格专职人员，负责基金财产托管事宜；</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对所托管的不同基金财产分别设置账户，确保基金财产的完整与独立；</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除依据法律法规规定和基金合同的约定外，不得为</w:t>
      </w:r>
      <w:r>
        <w:rPr>
          <w:rFonts w:ascii="仿宋_GB2312" w:eastAsia="仿宋_GB2312" w:hAnsi="仿宋"/>
          <w:sz w:val="32"/>
          <w:szCs w:val="32"/>
        </w:rPr>
        <w:t>私募</w:t>
      </w:r>
      <w:r>
        <w:rPr>
          <w:rFonts w:ascii="仿宋_GB2312" w:eastAsia="仿宋_GB2312" w:hAnsi="仿宋" w:hint="eastAsia"/>
          <w:sz w:val="32"/>
          <w:szCs w:val="32"/>
        </w:rPr>
        <w:t>基金托管人及任何第三人谋取利益，不得委托第三人托管基金财产；</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按规定开立和注销私募基金财产的托管资金账户、证券账户、期货账户等投资所需账户；</w:t>
      </w:r>
    </w:p>
    <w:p w:rsidR="00375B1F" w:rsidRDefault="00BA1C44">
      <w:pPr>
        <w:pStyle w:val="12"/>
        <w:numPr>
          <w:ilvl w:val="0"/>
          <w:numId w:val="11"/>
        </w:numPr>
        <w:spacing w:before="0" w:after="0"/>
        <w:ind w:firstLineChars="0"/>
        <w:rPr>
          <w:rFonts w:ascii="仿宋_GB2312" w:eastAsia="仿宋_GB2312" w:hAnsi="仿宋"/>
          <w:sz w:val="32"/>
          <w:szCs w:val="32"/>
        </w:rPr>
      </w:pPr>
      <w:r>
        <w:rPr>
          <w:rFonts w:ascii="仿宋_GB2312" w:eastAsia="仿宋_GB2312" w:hAnsi="仿宋" w:hint="eastAsia"/>
          <w:sz w:val="32"/>
          <w:szCs w:val="32"/>
        </w:rPr>
        <w:t>复核私募基金份额净值；</w:t>
      </w:r>
    </w:p>
    <w:p w:rsidR="00375B1F" w:rsidRDefault="00BA1C44" w:rsidP="00AB2CAE">
      <w:pPr>
        <w:pStyle w:val="12"/>
        <w:numPr>
          <w:ilvl w:val="0"/>
          <w:numId w:val="11"/>
        </w:numPr>
        <w:spacing w:before="0" w:after="0"/>
        <w:ind w:left="0" w:firstLineChars="0" w:firstLine="488"/>
        <w:rPr>
          <w:rFonts w:ascii="仿宋_GB2312" w:eastAsia="仿宋_GB2312" w:hAnsi="仿宋"/>
          <w:sz w:val="32"/>
          <w:szCs w:val="32"/>
        </w:rPr>
      </w:pPr>
      <w:r>
        <w:rPr>
          <w:rFonts w:ascii="仿宋_GB2312" w:eastAsia="仿宋_GB2312" w:hAnsi="仿宋" w:hint="eastAsia"/>
          <w:sz w:val="32"/>
          <w:szCs w:val="32"/>
        </w:rPr>
        <w:t>办理与基金托管业务有关的信息披露事项；</w:t>
      </w:r>
    </w:p>
    <w:p w:rsidR="00375B1F" w:rsidRDefault="00BA1C44" w:rsidP="00AB2CAE">
      <w:pPr>
        <w:pStyle w:val="12"/>
        <w:numPr>
          <w:ilvl w:val="0"/>
          <w:numId w:val="11"/>
        </w:numPr>
        <w:spacing w:before="0" w:after="0"/>
        <w:ind w:left="0" w:firstLineChars="0" w:firstLine="488"/>
        <w:rPr>
          <w:rFonts w:ascii="仿宋_GB2312" w:eastAsia="仿宋_GB2312" w:hAnsi="仿宋"/>
          <w:sz w:val="32"/>
          <w:szCs w:val="32"/>
        </w:rPr>
      </w:pPr>
      <w:r>
        <w:rPr>
          <w:rFonts w:ascii="仿宋_GB2312" w:eastAsia="仿宋_GB2312" w:hAnsi="仿宋" w:hint="eastAsia"/>
          <w:sz w:val="32"/>
          <w:szCs w:val="32"/>
        </w:rPr>
        <w:lastRenderedPageBreak/>
        <w:t>根据相关法律法规和基金合同约定复核</w:t>
      </w:r>
      <w:r>
        <w:rPr>
          <w:rFonts w:ascii="仿宋_GB2312" w:eastAsia="仿宋_GB2312" w:hAnsi="仿宋"/>
          <w:sz w:val="32"/>
          <w:szCs w:val="32"/>
        </w:rPr>
        <w:t>私募</w:t>
      </w:r>
      <w:r>
        <w:rPr>
          <w:rFonts w:ascii="仿宋_GB2312" w:eastAsia="仿宋_GB2312" w:hAnsi="仿宋" w:hint="eastAsia"/>
          <w:sz w:val="32"/>
          <w:szCs w:val="32"/>
        </w:rPr>
        <w:t>基金管理人编制的私募基金定期报告，并定期出具书面意见；</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按照基金合同约定，根据</w:t>
      </w:r>
      <w:r>
        <w:rPr>
          <w:rFonts w:ascii="仿宋_GB2312" w:eastAsia="仿宋_GB2312" w:hAnsi="仿宋"/>
          <w:sz w:val="32"/>
          <w:szCs w:val="32"/>
        </w:rPr>
        <w:t>私募</w:t>
      </w:r>
      <w:r>
        <w:rPr>
          <w:rFonts w:ascii="仿宋_GB2312" w:eastAsia="仿宋_GB2312" w:hAnsi="仿宋" w:hint="eastAsia"/>
          <w:sz w:val="32"/>
          <w:szCs w:val="32"/>
        </w:rPr>
        <w:t>基金管理人或其授权人的资金划拨指令，及时办理清算、交割事宜；</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根据法律法规规定，妥善保存私募基金管理业务活动有关合同、协议、凭证等文件资料；</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公平对待所托管的不同基金财产，不得从事任何有损基金财产及其他当事人利益的活动；</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保守商业秘密,除法律法规规定和基金合同约定外，不得向他人泄露本基金的有关信息；</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根据相关法律法规要求的保存期限，保存私募基金投资业务活动的全部会计资料，并妥善保存有关的合同、交易记录及其他相关资料；</w:t>
      </w:r>
    </w:p>
    <w:p w:rsidR="00375B1F" w:rsidRDefault="00BA1C44">
      <w:pPr>
        <w:pStyle w:val="12"/>
        <w:numPr>
          <w:ilvl w:val="0"/>
          <w:numId w:val="1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监督</w:t>
      </w:r>
      <w:r>
        <w:rPr>
          <w:rFonts w:ascii="仿宋_GB2312" w:eastAsia="仿宋_GB2312" w:hAnsi="仿宋"/>
          <w:sz w:val="32"/>
          <w:szCs w:val="32"/>
        </w:rPr>
        <w:t>私募</w:t>
      </w:r>
      <w:r>
        <w:rPr>
          <w:rFonts w:ascii="仿宋_GB2312" w:eastAsia="仿宋_GB2312" w:hAnsi="仿宋" w:hint="eastAsia"/>
          <w:sz w:val="32"/>
          <w:szCs w:val="32"/>
        </w:rPr>
        <w:t>基金管理人的投资运作，发现</w:t>
      </w:r>
      <w:r>
        <w:rPr>
          <w:rFonts w:ascii="仿宋_GB2312" w:eastAsia="仿宋_GB2312" w:hAnsi="仿宋"/>
          <w:sz w:val="32"/>
          <w:szCs w:val="32"/>
        </w:rPr>
        <w:t>私募</w:t>
      </w:r>
      <w:r>
        <w:rPr>
          <w:rFonts w:ascii="仿宋_GB2312" w:eastAsia="仿宋_GB2312" w:hAnsi="仿宋" w:hint="eastAsia"/>
          <w:sz w:val="32"/>
          <w:szCs w:val="32"/>
        </w:rPr>
        <w:t>基金管理人的投资指令违反法律法规的规定及基金合同约定的，应当拒绝执行，立即通知</w:t>
      </w:r>
      <w:r>
        <w:rPr>
          <w:rFonts w:ascii="仿宋_GB2312" w:eastAsia="仿宋_GB2312" w:hAnsi="仿宋"/>
          <w:sz w:val="32"/>
          <w:szCs w:val="32"/>
        </w:rPr>
        <w:t>私募</w:t>
      </w:r>
      <w:r>
        <w:rPr>
          <w:rFonts w:ascii="仿宋_GB2312" w:eastAsia="仿宋_GB2312" w:hAnsi="仿宋" w:hint="eastAsia"/>
          <w:sz w:val="32"/>
          <w:szCs w:val="32"/>
        </w:rPr>
        <w:t>基金管理人；发现</w:t>
      </w:r>
      <w:r>
        <w:rPr>
          <w:rFonts w:ascii="仿宋_GB2312" w:eastAsia="仿宋_GB2312" w:hAnsi="仿宋"/>
          <w:sz w:val="32"/>
          <w:szCs w:val="32"/>
        </w:rPr>
        <w:t>私募</w:t>
      </w:r>
      <w:r>
        <w:rPr>
          <w:rFonts w:ascii="仿宋_GB2312" w:eastAsia="仿宋_GB2312" w:hAnsi="仿宋" w:hint="eastAsia"/>
          <w:sz w:val="32"/>
          <w:szCs w:val="32"/>
        </w:rPr>
        <w:t>基金管理人依据交易程序已经生效的投资指令违反法律法规的规定及基金合同约定的，应当立即通知</w:t>
      </w:r>
      <w:r>
        <w:rPr>
          <w:rFonts w:ascii="仿宋_GB2312" w:eastAsia="仿宋_GB2312" w:hAnsi="仿宋"/>
          <w:sz w:val="32"/>
          <w:szCs w:val="32"/>
        </w:rPr>
        <w:t>私募</w:t>
      </w:r>
      <w:r>
        <w:rPr>
          <w:rFonts w:ascii="仿宋_GB2312" w:eastAsia="仿宋_GB2312" w:hAnsi="仿宋" w:hint="eastAsia"/>
          <w:sz w:val="32"/>
          <w:szCs w:val="32"/>
        </w:rPr>
        <w:t>基金管理人。</w:t>
      </w:r>
    </w:p>
    <w:p w:rsidR="00375B1F" w:rsidRDefault="00BA1C44">
      <w:pPr>
        <w:pStyle w:val="12"/>
        <w:numPr>
          <w:ilvl w:val="0"/>
          <w:numId w:val="3"/>
        </w:numPr>
        <w:tabs>
          <w:tab w:val="left" w:pos="1843"/>
        </w:tabs>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根据《暂行办法》及其他有关规定</w:t>
      </w:r>
      <w:r>
        <w:rPr>
          <w:rFonts w:ascii="仿宋_GB2312" w:eastAsia="仿宋_GB2312" w:hAnsi="仿宋"/>
          <w:sz w:val="32"/>
          <w:szCs w:val="32"/>
        </w:rPr>
        <w:t>订明</w:t>
      </w:r>
      <w:r>
        <w:rPr>
          <w:rFonts w:ascii="仿宋_GB2312" w:eastAsia="仿宋_GB2312" w:hAnsi="仿宋" w:hint="eastAsia"/>
          <w:sz w:val="32"/>
          <w:szCs w:val="32"/>
        </w:rPr>
        <w:t>投资者的权利，包括但不限于：</w:t>
      </w:r>
    </w:p>
    <w:p w:rsidR="00375B1F" w:rsidRDefault="00BA1C44">
      <w:pPr>
        <w:pStyle w:val="12"/>
        <w:numPr>
          <w:ilvl w:val="0"/>
          <w:numId w:val="12"/>
        </w:numPr>
        <w:spacing w:before="0" w:after="0"/>
        <w:ind w:firstLineChars="0"/>
        <w:rPr>
          <w:rFonts w:ascii="仿宋_GB2312" w:eastAsia="仿宋_GB2312" w:hAnsi="仿宋"/>
          <w:sz w:val="32"/>
          <w:szCs w:val="32"/>
        </w:rPr>
      </w:pPr>
      <w:r>
        <w:rPr>
          <w:rFonts w:ascii="仿宋_GB2312" w:eastAsia="仿宋_GB2312" w:hAnsi="仿宋" w:hint="eastAsia"/>
          <w:sz w:val="32"/>
          <w:szCs w:val="32"/>
        </w:rPr>
        <w:t>取得基金财产收益；</w:t>
      </w:r>
    </w:p>
    <w:p w:rsidR="00375B1F" w:rsidRDefault="00BA1C44">
      <w:pPr>
        <w:pStyle w:val="12"/>
        <w:numPr>
          <w:ilvl w:val="0"/>
          <w:numId w:val="12"/>
        </w:numPr>
        <w:spacing w:before="0" w:after="0"/>
        <w:ind w:firstLineChars="0"/>
        <w:rPr>
          <w:rFonts w:ascii="仿宋_GB2312" w:eastAsia="仿宋_GB2312" w:hAnsi="仿宋"/>
          <w:sz w:val="32"/>
          <w:szCs w:val="32"/>
        </w:rPr>
      </w:pPr>
      <w:r>
        <w:rPr>
          <w:rFonts w:ascii="仿宋_GB2312" w:eastAsia="仿宋_GB2312" w:hAnsi="仿宋" w:hint="eastAsia"/>
          <w:sz w:val="32"/>
          <w:szCs w:val="32"/>
        </w:rPr>
        <w:lastRenderedPageBreak/>
        <w:t>取得清算后的剩余基金财产；</w:t>
      </w:r>
    </w:p>
    <w:p w:rsidR="00375B1F" w:rsidRDefault="00BA1C44">
      <w:pPr>
        <w:pStyle w:val="12"/>
        <w:numPr>
          <w:ilvl w:val="0"/>
          <w:numId w:val="12"/>
        </w:numPr>
        <w:spacing w:before="0" w:after="0"/>
        <w:ind w:firstLineChars="0"/>
        <w:rPr>
          <w:rFonts w:ascii="仿宋_GB2312" w:eastAsia="仿宋_GB2312" w:hAnsi="仿宋"/>
          <w:sz w:val="32"/>
          <w:szCs w:val="32"/>
        </w:rPr>
      </w:pPr>
      <w:r>
        <w:rPr>
          <w:rFonts w:ascii="仿宋_GB2312" w:eastAsia="仿宋_GB2312" w:hAnsi="仿宋" w:hint="eastAsia"/>
          <w:sz w:val="32"/>
          <w:szCs w:val="32"/>
        </w:rPr>
        <w:t>按照基金合同的约定申购、赎回和转让基金；</w:t>
      </w:r>
    </w:p>
    <w:p w:rsidR="00375B1F" w:rsidRDefault="00BA1C44">
      <w:pPr>
        <w:pStyle w:val="12"/>
        <w:numPr>
          <w:ilvl w:val="0"/>
          <w:numId w:val="12"/>
        </w:numPr>
        <w:spacing w:before="0" w:after="0"/>
        <w:ind w:left="0" w:firstLineChars="0" w:firstLine="426"/>
        <w:rPr>
          <w:rFonts w:ascii="仿宋_GB2312" w:eastAsia="仿宋_GB2312" w:hAnsi="仿宋"/>
          <w:sz w:val="32"/>
          <w:szCs w:val="32"/>
        </w:rPr>
      </w:pPr>
      <w:r>
        <w:rPr>
          <w:rFonts w:ascii="仿宋_GB2312" w:eastAsia="仿宋_GB2312" w:hAnsi="仿宋" w:hint="eastAsia"/>
          <w:sz w:val="32"/>
          <w:szCs w:val="32"/>
        </w:rPr>
        <w:t>根据基金合同的规定，参加或申请召集</w:t>
      </w:r>
      <w:r>
        <w:rPr>
          <w:rFonts w:ascii="仿宋_GB2312" w:eastAsia="仿宋_GB2312" w:hAnsi="仿宋"/>
          <w:sz w:val="32"/>
          <w:szCs w:val="32"/>
        </w:rPr>
        <w:t>基金份额持有人大会</w:t>
      </w:r>
      <w:r>
        <w:rPr>
          <w:rFonts w:ascii="仿宋_GB2312" w:eastAsia="仿宋_GB2312" w:hAnsi="仿宋" w:hint="eastAsia"/>
          <w:sz w:val="32"/>
          <w:szCs w:val="32"/>
        </w:rPr>
        <w:t>，行使相关职权；</w:t>
      </w:r>
    </w:p>
    <w:p w:rsidR="00375B1F" w:rsidRDefault="00BA1C44">
      <w:pPr>
        <w:pStyle w:val="12"/>
        <w:numPr>
          <w:ilvl w:val="0"/>
          <w:numId w:val="12"/>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监督</w:t>
      </w:r>
      <w:r>
        <w:rPr>
          <w:rFonts w:ascii="仿宋_GB2312" w:eastAsia="仿宋_GB2312" w:hAnsi="仿宋"/>
          <w:sz w:val="32"/>
          <w:szCs w:val="32"/>
        </w:rPr>
        <w:t>私募</w:t>
      </w:r>
      <w:r>
        <w:rPr>
          <w:rFonts w:ascii="仿宋_GB2312" w:eastAsia="仿宋_GB2312" w:hAnsi="仿宋" w:hint="eastAsia"/>
          <w:sz w:val="32"/>
          <w:szCs w:val="32"/>
        </w:rPr>
        <w:t>基金管理人、</w:t>
      </w:r>
      <w:r>
        <w:rPr>
          <w:rFonts w:ascii="仿宋_GB2312" w:eastAsia="仿宋_GB2312" w:hAnsi="仿宋"/>
          <w:sz w:val="32"/>
          <w:szCs w:val="32"/>
        </w:rPr>
        <w:t>私募</w:t>
      </w:r>
      <w:r>
        <w:rPr>
          <w:rFonts w:ascii="仿宋_GB2312" w:eastAsia="仿宋_GB2312" w:hAnsi="仿宋" w:hint="eastAsia"/>
          <w:sz w:val="32"/>
          <w:szCs w:val="32"/>
        </w:rPr>
        <w:t>基金托管人履行投资管理及托管义务的情况；</w:t>
      </w:r>
    </w:p>
    <w:p w:rsidR="00375B1F" w:rsidRDefault="00BA1C44">
      <w:pPr>
        <w:pStyle w:val="12"/>
        <w:numPr>
          <w:ilvl w:val="0"/>
          <w:numId w:val="12"/>
        </w:numPr>
        <w:spacing w:before="0" w:after="0"/>
        <w:ind w:left="0" w:firstLineChars="0" w:firstLine="426"/>
        <w:rPr>
          <w:rFonts w:ascii="仿宋_GB2312" w:eastAsia="仿宋_GB2312" w:hAnsi="仿宋"/>
          <w:sz w:val="32"/>
          <w:szCs w:val="32"/>
        </w:rPr>
      </w:pPr>
      <w:r>
        <w:rPr>
          <w:rFonts w:ascii="仿宋_GB2312" w:eastAsia="仿宋_GB2312" w:hAnsi="仿宋" w:hint="eastAsia"/>
          <w:sz w:val="32"/>
          <w:szCs w:val="32"/>
        </w:rPr>
        <w:t>按照基金合同约定的时间和方式获得基金</w:t>
      </w:r>
      <w:r w:rsidR="00354BBF">
        <w:rPr>
          <w:rFonts w:ascii="仿宋_GB2312" w:eastAsia="仿宋_GB2312" w:hAnsi="仿宋" w:hint="eastAsia"/>
          <w:sz w:val="32"/>
          <w:szCs w:val="32"/>
        </w:rPr>
        <w:t>信息披露</w:t>
      </w:r>
      <w:r>
        <w:rPr>
          <w:rFonts w:ascii="仿宋_GB2312" w:eastAsia="仿宋_GB2312" w:hAnsi="仿宋" w:hint="eastAsia"/>
          <w:sz w:val="32"/>
          <w:szCs w:val="32"/>
        </w:rPr>
        <w:t>资料；</w:t>
      </w:r>
    </w:p>
    <w:p w:rsidR="00375B1F" w:rsidRDefault="00BA1C44">
      <w:pPr>
        <w:pStyle w:val="12"/>
        <w:numPr>
          <w:ilvl w:val="0"/>
          <w:numId w:val="12"/>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 xml:space="preserve">因私募基金管理人、私募基金托管人违反法律法规或基金合同的约定导致合法权益受到损害的，有权得到赔偿； </w:t>
      </w:r>
    </w:p>
    <w:p w:rsidR="00375B1F" w:rsidRDefault="00BA1C44">
      <w:pPr>
        <w:pStyle w:val="12"/>
        <w:numPr>
          <w:ilvl w:val="0"/>
          <w:numId w:val="12"/>
        </w:numPr>
        <w:spacing w:before="0" w:after="0"/>
        <w:ind w:left="0" w:firstLineChars="0" w:firstLine="426"/>
        <w:rPr>
          <w:rFonts w:ascii="仿宋_GB2312" w:eastAsia="仿宋_GB2312" w:hAnsi="仿宋"/>
          <w:sz w:val="32"/>
          <w:szCs w:val="32"/>
        </w:rPr>
      </w:pPr>
      <w:r>
        <w:rPr>
          <w:rFonts w:ascii="仿宋_GB2312" w:eastAsia="仿宋_GB2312" w:hAnsi="仿宋" w:hint="eastAsia"/>
          <w:bCs/>
          <w:sz w:val="32"/>
          <w:szCs w:val="32"/>
        </w:rPr>
        <w:t>法律法规、中国证监会及</w:t>
      </w:r>
      <w:r w:rsidR="00FF505D">
        <w:rPr>
          <w:rFonts w:ascii="仿宋_GB2312" w:eastAsia="仿宋_GB2312" w:hAnsi="仿宋" w:hint="eastAsia"/>
          <w:bCs/>
          <w:sz w:val="32"/>
          <w:szCs w:val="32"/>
        </w:rPr>
        <w:t>中国基金业协会</w:t>
      </w:r>
      <w:r>
        <w:rPr>
          <w:rFonts w:ascii="仿宋_GB2312" w:eastAsia="仿宋_GB2312" w:hAnsi="仿宋" w:hint="eastAsia"/>
          <w:bCs/>
          <w:sz w:val="32"/>
          <w:szCs w:val="32"/>
        </w:rPr>
        <w:t>规定的和基金合同约定的其他权利</w:t>
      </w:r>
      <w:r>
        <w:rPr>
          <w:rFonts w:ascii="仿宋_GB2312" w:eastAsia="仿宋_GB2312" w:hAnsi="仿宋" w:hint="eastAsia"/>
          <w:sz w:val="32"/>
          <w:szCs w:val="32"/>
        </w:rPr>
        <w:t>。</w:t>
      </w:r>
    </w:p>
    <w:p w:rsidR="00375B1F" w:rsidRDefault="00BA1C44">
      <w:pPr>
        <w:pStyle w:val="12"/>
        <w:numPr>
          <w:ilvl w:val="0"/>
          <w:numId w:val="3"/>
        </w:numPr>
        <w:tabs>
          <w:tab w:val="left" w:pos="1843"/>
        </w:tabs>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根据《暂行办法》及其他有关规定</w:t>
      </w:r>
      <w:r>
        <w:rPr>
          <w:rFonts w:ascii="仿宋_GB2312" w:eastAsia="仿宋_GB2312" w:hAnsi="仿宋"/>
          <w:sz w:val="32"/>
          <w:szCs w:val="32"/>
        </w:rPr>
        <w:t>订明</w:t>
      </w:r>
      <w:r>
        <w:rPr>
          <w:rFonts w:ascii="仿宋_GB2312" w:eastAsia="仿宋_GB2312" w:hAnsi="仿宋" w:hint="eastAsia"/>
          <w:sz w:val="32"/>
          <w:szCs w:val="32"/>
        </w:rPr>
        <w:t>投资者的义务，包括但不限于：</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认真阅读基金合同，保证投资资金的来源及用途合法；</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接受合格投资者认定程序，如实填写风险识别能力和承担能力问卷，如实承诺资产或者收入情况，并对其真实性、准确性和完整性负责，签署《合格投资者确认书》；</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以合伙企业、契约等非法人形式汇集多数投资者资金直接或者间接投资于私募基金的，应向私募基金管理人充分披露上述情况及最终投资者的信息，但符合《暂行办法》第十三条规定</w:t>
      </w:r>
      <w:r>
        <w:rPr>
          <w:rFonts w:ascii="仿宋_GB2312" w:eastAsia="仿宋_GB2312" w:hAnsi="仿宋" w:hint="eastAsia"/>
          <w:sz w:val="32"/>
          <w:szCs w:val="32"/>
        </w:rPr>
        <w:lastRenderedPageBreak/>
        <w:t>的除外；</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认真阅读并签署风险揭示书；</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按照基金合同约定缴纳基金份额的认购、申购款项，承担基金合同约定的管理费、托管费及其他相关费用；</w:t>
      </w:r>
    </w:p>
    <w:p w:rsidR="00375B1F" w:rsidRDefault="00BA1C44">
      <w:pPr>
        <w:pStyle w:val="12"/>
        <w:numPr>
          <w:ilvl w:val="0"/>
          <w:numId w:val="13"/>
        </w:numPr>
        <w:spacing w:before="0" w:after="0"/>
        <w:ind w:firstLineChars="0"/>
        <w:rPr>
          <w:rFonts w:ascii="仿宋_GB2312" w:eastAsia="仿宋_GB2312" w:hAnsi="仿宋"/>
          <w:sz w:val="32"/>
          <w:szCs w:val="32"/>
        </w:rPr>
      </w:pPr>
      <w:r>
        <w:rPr>
          <w:rFonts w:ascii="仿宋_GB2312" w:eastAsia="仿宋_GB2312" w:hAnsi="仿宋" w:hint="eastAsia"/>
          <w:sz w:val="32"/>
          <w:szCs w:val="32"/>
        </w:rPr>
        <w:t xml:space="preserve">按基金合同约定承担基金的投资损失； </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向</w:t>
      </w:r>
      <w:r>
        <w:rPr>
          <w:rFonts w:ascii="仿宋_GB2312" w:eastAsia="仿宋_GB2312" w:hAnsi="仿宋"/>
          <w:sz w:val="32"/>
          <w:szCs w:val="32"/>
        </w:rPr>
        <w:t>私募</w:t>
      </w:r>
      <w:r>
        <w:rPr>
          <w:rFonts w:ascii="仿宋_GB2312" w:eastAsia="仿宋_GB2312" w:hAnsi="仿宋" w:hint="eastAsia"/>
          <w:sz w:val="32"/>
          <w:szCs w:val="32"/>
        </w:rPr>
        <w:t>基金管理人或私募基金募集机构提供法律法规规定的信息资料及身份证明文件，配合</w:t>
      </w:r>
      <w:r>
        <w:rPr>
          <w:rFonts w:ascii="仿宋_GB2312" w:eastAsia="仿宋_GB2312" w:hAnsi="仿宋"/>
          <w:sz w:val="32"/>
          <w:szCs w:val="32"/>
        </w:rPr>
        <w:t>私募</w:t>
      </w:r>
      <w:r>
        <w:rPr>
          <w:rFonts w:ascii="仿宋_GB2312" w:eastAsia="仿宋_GB2312" w:hAnsi="仿宋" w:hint="eastAsia"/>
          <w:sz w:val="32"/>
          <w:szCs w:val="32"/>
        </w:rPr>
        <w:t>基金管理人或其募集机构的尽职调查与反洗钱工作；</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保守商业秘密，不得泄露私募基金的投资计划或意向等；</w:t>
      </w:r>
    </w:p>
    <w:p w:rsidR="00375B1F" w:rsidRPr="00D05815" w:rsidRDefault="00BA1C44">
      <w:pPr>
        <w:pStyle w:val="12"/>
        <w:numPr>
          <w:ilvl w:val="0"/>
          <w:numId w:val="13"/>
        </w:numPr>
        <w:spacing w:before="0" w:after="0"/>
        <w:ind w:left="0" w:firstLineChars="0" w:firstLine="485"/>
        <w:rPr>
          <w:rFonts w:ascii="仿宋_GB2312" w:eastAsia="仿宋_GB2312" w:hAnsi="仿宋"/>
          <w:sz w:val="32"/>
          <w:szCs w:val="32"/>
        </w:rPr>
      </w:pPr>
      <w:r w:rsidRPr="00CD670F">
        <w:rPr>
          <w:rFonts w:ascii="仿宋_GB2312" w:eastAsia="仿宋_GB2312" w:hAnsi="仿宋" w:hint="eastAsia"/>
          <w:sz w:val="32"/>
          <w:szCs w:val="32"/>
        </w:rPr>
        <w:t>不得违反基金合同的约定干涉基金管理人的投资行为；</w:t>
      </w:r>
    </w:p>
    <w:p w:rsidR="00375B1F" w:rsidRPr="00D05815" w:rsidRDefault="00BA1C44">
      <w:pPr>
        <w:pStyle w:val="12"/>
        <w:numPr>
          <w:ilvl w:val="0"/>
          <w:numId w:val="13"/>
        </w:numPr>
        <w:spacing w:before="0" w:after="0"/>
        <w:ind w:left="0" w:firstLineChars="0" w:firstLine="485"/>
        <w:rPr>
          <w:rFonts w:ascii="仿宋_GB2312" w:eastAsia="仿宋_GB2312" w:hAnsi="仿宋"/>
          <w:sz w:val="32"/>
          <w:szCs w:val="32"/>
        </w:rPr>
      </w:pPr>
      <w:r w:rsidRPr="00CD670F">
        <w:rPr>
          <w:rFonts w:ascii="仿宋_GB2312" w:eastAsia="仿宋_GB2312" w:hAnsi="仿宋" w:hint="eastAsia"/>
          <w:sz w:val="32"/>
          <w:szCs w:val="32"/>
        </w:rPr>
        <w:t>不得从事任何有损基金及其投资</w:t>
      </w:r>
      <w:r w:rsidR="00303228">
        <w:rPr>
          <w:rFonts w:ascii="仿宋_GB2312" w:eastAsia="仿宋_GB2312" w:hAnsi="仿宋" w:hint="eastAsia"/>
          <w:sz w:val="32"/>
          <w:szCs w:val="32"/>
        </w:rPr>
        <w:t>者</w:t>
      </w:r>
      <w:r w:rsidRPr="00CD670F">
        <w:rPr>
          <w:rFonts w:ascii="仿宋_GB2312" w:eastAsia="仿宋_GB2312" w:hAnsi="仿宋" w:hint="eastAsia"/>
          <w:sz w:val="32"/>
          <w:szCs w:val="32"/>
        </w:rPr>
        <w:t>、基金管理人管理的其他基金及基金托管人托管的其他基金合法权益的活动；</w:t>
      </w:r>
    </w:p>
    <w:p w:rsidR="00375B1F" w:rsidRDefault="00BA1C44">
      <w:pPr>
        <w:pStyle w:val="12"/>
        <w:numPr>
          <w:ilvl w:val="0"/>
          <w:numId w:val="13"/>
        </w:numPr>
        <w:spacing w:before="0" w:after="0"/>
        <w:ind w:left="0" w:firstLineChars="0" w:firstLine="485"/>
        <w:rPr>
          <w:rFonts w:ascii="仿宋_GB2312" w:eastAsia="仿宋_GB2312" w:hAnsi="仿宋"/>
          <w:sz w:val="32"/>
          <w:szCs w:val="32"/>
        </w:rPr>
      </w:pPr>
      <w:r>
        <w:rPr>
          <w:rFonts w:ascii="仿宋_GB2312" w:eastAsia="仿宋_GB2312" w:hAnsi="仿宋" w:hint="eastAsia"/>
          <w:bCs/>
          <w:sz w:val="32"/>
          <w:szCs w:val="32"/>
        </w:rPr>
        <w:t>法律法规、中国证监会及</w:t>
      </w:r>
      <w:r w:rsidR="00FF505D">
        <w:rPr>
          <w:rFonts w:ascii="仿宋_GB2312" w:eastAsia="仿宋_GB2312" w:hAnsi="仿宋" w:hint="eastAsia"/>
          <w:bCs/>
          <w:sz w:val="32"/>
          <w:szCs w:val="32"/>
        </w:rPr>
        <w:t>中国基金业协会</w:t>
      </w:r>
      <w:r>
        <w:rPr>
          <w:rFonts w:ascii="仿宋_GB2312" w:eastAsia="仿宋_GB2312" w:hAnsi="仿宋" w:hint="eastAsia"/>
          <w:bCs/>
          <w:sz w:val="32"/>
          <w:szCs w:val="32"/>
        </w:rPr>
        <w:t>规定和基金合同约定的其他义务</w:t>
      </w:r>
      <w:r>
        <w:rPr>
          <w:rFonts w:ascii="仿宋_GB2312" w:eastAsia="仿宋_GB2312" w:hAnsi="仿宋" w:hint="eastAsia"/>
          <w:sz w:val="32"/>
          <w:szCs w:val="32"/>
        </w:rPr>
        <w:t>。</w:t>
      </w:r>
    </w:p>
    <w:p w:rsidR="00375B1F" w:rsidRDefault="00BA1C44">
      <w:pPr>
        <w:pStyle w:val="a"/>
        <w:spacing w:before="0" w:after="0"/>
        <w:rPr>
          <w:sz w:val="32"/>
        </w:rPr>
      </w:pPr>
      <w:bookmarkStart w:id="62" w:name="_Toc438051760"/>
      <w:bookmarkStart w:id="63" w:name="_GoBack"/>
      <w:bookmarkEnd w:id="63"/>
      <w:r>
        <w:rPr>
          <w:rFonts w:hint="eastAsia"/>
          <w:sz w:val="32"/>
        </w:rPr>
        <w:t>私募基金份额持有人大会及日常机构</w:t>
      </w:r>
      <w:bookmarkEnd w:id="62"/>
    </w:p>
    <w:p w:rsidR="00375B1F" w:rsidRPr="008624B2" w:rsidRDefault="00BA1C44">
      <w:pPr>
        <w:pStyle w:val="12"/>
        <w:numPr>
          <w:ilvl w:val="0"/>
          <w:numId w:val="3"/>
        </w:numPr>
        <w:tabs>
          <w:tab w:val="left" w:pos="1843"/>
        </w:tabs>
        <w:spacing w:before="0" w:after="0"/>
        <w:ind w:left="0" w:firstLineChars="202" w:firstLine="646"/>
        <w:rPr>
          <w:rFonts w:ascii="仿宋_GB2312" w:eastAsia="仿宋_GB2312" w:hAnsi="仿宋"/>
          <w:sz w:val="32"/>
        </w:rPr>
      </w:pPr>
      <w:r w:rsidRPr="008624B2">
        <w:rPr>
          <w:rFonts w:ascii="仿宋_GB2312" w:eastAsia="仿宋_GB2312" w:hAnsi="仿宋" w:hint="eastAsia"/>
          <w:sz w:val="32"/>
        </w:rPr>
        <w:t>列明应当召开基金份额持有人大会的情形</w:t>
      </w:r>
      <w:r w:rsidRPr="008624B2">
        <w:rPr>
          <w:rFonts w:ascii="仿宋_GB2312" w:eastAsia="仿宋_GB2312" w:hAnsi="仿宋"/>
          <w:sz w:val="32"/>
        </w:rPr>
        <w:t>,并订</w:t>
      </w:r>
      <w:proofErr w:type="gramStart"/>
      <w:r w:rsidRPr="008624B2">
        <w:rPr>
          <w:rFonts w:ascii="仿宋_GB2312" w:eastAsia="仿宋_GB2312" w:hAnsi="仿宋" w:hint="eastAsia"/>
          <w:sz w:val="32"/>
        </w:rPr>
        <w:t>明其他</w:t>
      </w:r>
      <w:proofErr w:type="gramEnd"/>
      <w:r w:rsidRPr="008624B2">
        <w:rPr>
          <w:rFonts w:ascii="仿宋_GB2312" w:eastAsia="仿宋_GB2312" w:hAnsi="仿宋" w:hint="eastAsia"/>
          <w:sz w:val="32"/>
        </w:rPr>
        <w:t>可能对基金份额持有人权利义务产生重大影响需要召开基金份额持有人大会的情形</w:t>
      </w:r>
      <w:r w:rsidRPr="008624B2">
        <w:rPr>
          <w:rFonts w:ascii="仿宋_GB2312" w:eastAsia="仿宋_GB2312" w:hAnsi="仿宋"/>
          <w:sz w:val="32"/>
        </w:rPr>
        <w:t>,包括但不限于:</w:t>
      </w:r>
    </w:p>
    <w:p w:rsidR="007735FE" w:rsidRPr="00AB2CAE" w:rsidRDefault="007735FE">
      <w:pPr>
        <w:pStyle w:val="12"/>
        <w:numPr>
          <w:ilvl w:val="0"/>
          <w:numId w:val="14"/>
        </w:numPr>
        <w:spacing w:before="0" w:after="0"/>
        <w:ind w:firstLineChars="0"/>
        <w:rPr>
          <w:rFonts w:ascii="仿宋_GB2312" w:eastAsia="仿宋_GB2312" w:hAnsi="仿宋"/>
          <w:sz w:val="32"/>
        </w:rPr>
      </w:pPr>
      <w:r w:rsidRPr="00AB2CAE">
        <w:rPr>
          <w:rFonts w:ascii="仿宋_GB2312" w:eastAsia="仿宋_GB2312" w:hAnsi="仿宋" w:hint="eastAsia"/>
          <w:sz w:val="32"/>
        </w:rPr>
        <w:t>决定基金扩</w:t>
      </w:r>
      <w:proofErr w:type="gramStart"/>
      <w:r w:rsidRPr="00AB2CAE">
        <w:rPr>
          <w:rFonts w:ascii="仿宋_GB2312" w:eastAsia="仿宋_GB2312" w:hAnsi="仿宋" w:hint="eastAsia"/>
          <w:sz w:val="32"/>
        </w:rPr>
        <w:t>募或者</w:t>
      </w:r>
      <w:proofErr w:type="gramEnd"/>
      <w:r w:rsidRPr="00AB2CAE">
        <w:rPr>
          <w:rFonts w:ascii="仿宋_GB2312" w:eastAsia="仿宋_GB2312" w:hAnsi="仿宋" w:hint="eastAsia"/>
          <w:sz w:val="32"/>
        </w:rPr>
        <w:t>延长基金合同期限；</w:t>
      </w:r>
    </w:p>
    <w:p w:rsidR="00375B1F" w:rsidRPr="008624B2" w:rsidRDefault="00FD2F72">
      <w:pPr>
        <w:pStyle w:val="12"/>
        <w:numPr>
          <w:ilvl w:val="0"/>
          <w:numId w:val="14"/>
        </w:numPr>
        <w:spacing w:before="0" w:after="0"/>
        <w:ind w:firstLineChars="0"/>
        <w:rPr>
          <w:rFonts w:ascii="仿宋_GB2312" w:eastAsia="仿宋_GB2312" w:hAnsi="仿宋"/>
          <w:sz w:val="32"/>
        </w:rPr>
      </w:pPr>
      <w:r w:rsidRPr="008624B2">
        <w:rPr>
          <w:rFonts w:ascii="仿宋_GB2312" w:eastAsia="仿宋_GB2312" w:hAnsi="仿宋" w:hint="eastAsia"/>
          <w:sz w:val="32"/>
        </w:rPr>
        <w:t>决定修改基金合同的重要内容或者提前终止基金合同</w:t>
      </w:r>
      <w:r w:rsidR="00BA1C44" w:rsidRPr="008624B2">
        <w:rPr>
          <w:rFonts w:ascii="仿宋_GB2312" w:eastAsia="仿宋_GB2312" w:hAnsi="仿宋"/>
          <w:sz w:val="32"/>
        </w:rPr>
        <w:t>;</w:t>
      </w:r>
    </w:p>
    <w:p w:rsidR="00375B1F" w:rsidRPr="00AB2CAE" w:rsidRDefault="00FD2F72" w:rsidP="00AB2CAE">
      <w:pPr>
        <w:pStyle w:val="12"/>
        <w:numPr>
          <w:ilvl w:val="0"/>
          <w:numId w:val="14"/>
        </w:numPr>
        <w:spacing w:before="0" w:after="0"/>
        <w:ind w:firstLineChars="0"/>
        <w:rPr>
          <w:rFonts w:ascii="仿宋_GB2312" w:eastAsia="仿宋_GB2312" w:hAnsi="仿宋"/>
          <w:sz w:val="32"/>
        </w:rPr>
      </w:pPr>
      <w:r w:rsidRPr="008624B2">
        <w:rPr>
          <w:rFonts w:ascii="仿宋_GB2312" w:eastAsia="仿宋_GB2312" w:hAnsi="仿宋" w:hint="eastAsia"/>
          <w:sz w:val="32"/>
        </w:rPr>
        <w:t>决定更换</w:t>
      </w:r>
      <w:r w:rsidR="00BA1C44" w:rsidRPr="008624B2">
        <w:rPr>
          <w:rFonts w:ascii="仿宋_GB2312" w:eastAsia="仿宋_GB2312" w:hAnsi="仿宋" w:hint="eastAsia"/>
          <w:sz w:val="32"/>
        </w:rPr>
        <w:t>基金管理人、基金托管人</w:t>
      </w:r>
      <w:r w:rsidR="000445AC">
        <w:rPr>
          <w:rFonts w:ascii="仿宋_GB2312" w:eastAsia="仿宋_GB2312" w:hAnsi="仿宋" w:hint="eastAsia"/>
          <w:sz w:val="32"/>
        </w:rPr>
        <w:t>和投资顾问（如有）</w:t>
      </w:r>
      <w:r w:rsidR="00BA1C44" w:rsidRPr="008624B2">
        <w:rPr>
          <w:rFonts w:ascii="仿宋_GB2312" w:eastAsia="仿宋_GB2312" w:hAnsi="仿宋" w:hint="eastAsia"/>
          <w:sz w:val="32"/>
        </w:rPr>
        <w:t>；</w:t>
      </w:r>
    </w:p>
    <w:p w:rsidR="00375B1F" w:rsidRPr="00AB2CAE" w:rsidRDefault="00FD2F72">
      <w:pPr>
        <w:pStyle w:val="12"/>
        <w:numPr>
          <w:ilvl w:val="0"/>
          <w:numId w:val="14"/>
        </w:numPr>
        <w:spacing w:before="0" w:after="0"/>
        <w:ind w:left="0" w:firstLineChars="0" w:firstLine="485"/>
        <w:rPr>
          <w:rFonts w:ascii="仿宋_GB2312" w:eastAsia="仿宋_GB2312" w:hAnsi="仿宋"/>
          <w:sz w:val="32"/>
        </w:rPr>
      </w:pPr>
      <w:r w:rsidRPr="008624B2">
        <w:rPr>
          <w:rFonts w:ascii="仿宋_GB2312" w:eastAsia="仿宋_GB2312" w:hAnsi="仿宋" w:hint="eastAsia"/>
          <w:sz w:val="32"/>
        </w:rPr>
        <w:lastRenderedPageBreak/>
        <w:t>决定调整</w:t>
      </w:r>
      <w:r w:rsidR="00BA1C44" w:rsidRPr="008624B2">
        <w:rPr>
          <w:rFonts w:ascii="仿宋_GB2312" w:eastAsia="仿宋_GB2312" w:hAnsi="仿宋" w:hint="eastAsia"/>
          <w:sz w:val="32"/>
        </w:rPr>
        <w:t>基金管理人</w:t>
      </w:r>
      <w:r w:rsidR="000F27E9">
        <w:rPr>
          <w:rFonts w:ascii="仿宋_GB2312" w:eastAsia="仿宋_GB2312" w:hAnsi="仿宋" w:hint="eastAsia"/>
          <w:sz w:val="32"/>
        </w:rPr>
        <w:t>、</w:t>
      </w:r>
      <w:r w:rsidR="00BA1C44" w:rsidRPr="008624B2">
        <w:rPr>
          <w:rFonts w:ascii="仿宋_GB2312" w:eastAsia="仿宋_GB2312" w:hAnsi="仿宋" w:hint="eastAsia"/>
          <w:sz w:val="32"/>
        </w:rPr>
        <w:t>基金托管人</w:t>
      </w:r>
      <w:r w:rsidR="000445AC">
        <w:rPr>
          <w:rFonts w:ascii="仿宋_GB2312" w:eastAsia="仿宋_GB2312" w:hAnsi="仿宋" w:hint="eastAsia"/>
          <w:sz w:val="32"/>
        </w:rPr>
        <w:t>和投资顾问（如有）</w:t>
      </w:r>
      <w:r w:rsidR="00BA1C44" w:rsidRPr="008624B2">
        <w:rPr>
          <w:rFonts w:ascii="仿宋_GB2312" w:eastAsia="仿宋_GB2312" w:hAnsi="仿宋" w:hint="eastAsia"/>
          <w:sz w:val="32"/>
        </w:rPr>
        <w:t>的报酬标准；</w:t>
      </w:r>
    </w:p>
    <w:p w:rsidR="002E4F7E" w:rsidRPr="00AB2CAE" w:rsidRDefault="00BA1C44" w:rsidP="002E4F7E">
      <w:pPr>
        <w:pStyle w:val="12"/>
        <w:numPr>
          <w:ilvl w:val="0"/>
          <w:numId w:val="14"/>
        </w:numPr>
        <w:spacing w:before="0" w:after="0"/>
        <w:ind w:left="0" w:firstLineChars="0" w:firstLine="485"/>
        <w:rPr>
          <w:rFonts w:ascii="仿宋_GB2312" w:eastAsia="仿宋_GB2312" w:hAnsi="仿宋"/>
          <w:sz w:val="32"/>
        </w:rPr>
      </w:pPr>
      <w:r w:rsidRPr="008624B2">
        <w:rPr>
          <w:rFonts w:ascii="仿宋_GB2312" w:eastAsia="仿宋_GB2312" w:hAnsi="仿宋" w:hint="eastAsia"/>
          <w:sz w:val="32"/>
        </w:rPr>
        <w:t>基金合同约定的其他情形。</w:t>
      </w:r>
    </w:p>
    <w:p w:rsidR="000F27E9" w:rsidRPr="00AB2CAE" w:rsidRDefault="00354BBF" w:rsidP="00AB2CAE">
      <w:pPr>
        <w:pStyle w:val="12"/>
        <w:spacing w:before="0" w:after="0"/>
        <w:ind w:firstLine="640"/>
        <w:rPr>
          <w:rFonts w:ascii="仿宋_GB2312" w:eastAsia="仿宋_GB2312" w:hAnsi="仿宋"/>
          <w:sz w:val="32"/>
        </w:rPr>
      </w:pPr>
      <w:r>
        <w:rPr>
          <w:rFonts w:ascii="仿宋_GB2312" w:eastAsia="仿宋_GB2312" w:hAnsi="仿宋" w:hint="eastAsia"/>
          <w:sz w:val="32"/>
        </w:rPr>
        <w:t>针</w:t>
      </w:r>
      <w:r w:rsidR="002E4F7E" w:rsidRPr="002E4F7E">
        <w:rPr>
          <w:rFonts w:ascii="仿宋_GB2312" w:eastAsia="仿宋_GB2312" w:hAnsi="仿宋" w:hint="eastAsia"/>
          <w:sz w:val="32"/>
        </w:rPr>
        <w:t>对前款所列事项</w:t>
      </w:r>
      <w:r>
        <w:rPr>
          <w:rFonts w:ascii="仿宋_GB2312" w:eastAsia="仿宋_GB2312" w:hAnsi="仿宋" w:hint="eastAsia"/>
          <w:sz w:val="32"/>
        </w:rPr>
        <w:t>，</w:t>
      </w:r>
      <w:r w:rsidR="002E4F7E">
        <w:rPr>
          <w:rFonts w:ascii="仿宋_GB2312" w:eastAsia="仿宋_GB2312" w:hAnsi="仿宋" w:hint="eastAsia"/>
          <w:sz w:val="32"/>
        </w:rPr>
        <w:t>基金份额持有人</w:t>
      </w:r>
      <w:r w:rsidR="002E4F7E" w:rsidRPr="00AB2CAE">
        <w:rPr>
          <w:rFonts w:ascii="仿宋_GB2312" w:eastAsia="仿宋_GB2312" w:hAnsi="仿宋" w:hint="eastAsia"/>
          <w:sz w:val="32"/>
        </w:rPr>
        <w:t>以书面形式一致表示同意的</w:t>
      </w:r>
      <w:r w:rsidR="002E4F7E" w:rsidRPr="00AB2CAE">
        <w:rPr>
          <w:rFonts w:ascii="仿宋_GB2312" w:eastAsia="仿宋_GB2312" w:hAnsi="仿宋"/>
          <w:sz w:val="32"/>
        </w:rPr>
        <w:t>,可以不召开</w:t>
      </w:r>
      <w:r w:rsidR="002E4F7E">
        <w:rPr>
          <w:rFonts w:ascii="仿宋_GB2312" w:eastAsia="仿宋_GB2312" w:hAnsi="仿宋" w:hint="eastAsia"/>
          <w:sz w:val="32"/>
        </w:rPr>
        <w:t>基金份额持有人大会</w:t>
      </w:r>
      <w:r w:rsidR="002E4F7E" w:rsidRPr="002E4F7E">
        <w:rPr>
          <w:rFonts w:ascii="仿宋_GB2312" w:eastAsia="仿宋_GB2312" w:hAnsi="仿宋" w:hint="eastAsia"/>
          <w:sz w:val="32"/>
        </w:rPr>
        <w:t>直接</w:t>
      </w:r>
      <w:proofErr w:type="gramStart"/>
      <w:r w:rsidR="002E4F7E" w:rsidRPr="002E4F7E">
        <w:rPr>
          <w:rFonts w:ascii="仿宋_GB2312" w:eastAsia="仿宋_GB2312" w:hAnsi="仿宋" w:hint="eastAsia"/>
          <w:sz w:val="32"/>
        </w:rPr>
        <w:t>作出</w:t>
      </w:r>
      <w:proofErr w:type="gramEnd"/>
      <w:r w:rsidR="002E4F7E">
        <w:rPr>
          <w:rFonts w:ascii="仿宋_GB2312" w:eastAsia="仿宋_GB2312" w:hAnsi="仿宋" w:hint="eastAsia"/>
          <w:sz w:val="32"/>
        </w:rPr>
        <w:t>决议</w:t>
      </w:r>
      <w:r w:rsidR="002E4F7E" w:rsidRPr="00AB2CAE">
        <w:rPr>
          <w:rFonts w:ascii="仿宋_GB2312" w:eastAsia="仿宋_GB2312" w:hAnsi="仿宋"/>
          <w:sz w:val="32"/>
        </w:rPr>
        <w:t>,</w:t>
      </w:r>
      <w:r w:rsidR="002E4F7E" w:rsidRPr="002E4F7E">
        <w:rPr>
          <w:rFonts w:ascii="仿宋_GB2312" w:eastAsia="仿宋_GB2312" w:hAnsi="仿宋" w:hint="eastAsia"/>
          <w:sz w:val="32"/>
        </w:rPr>
        <w:t>并由全体</w:t>
      </w:r>
      <w:r w:rsidR="002E4F7E">
        <w:rPr>
          <w:rFonts w:ascii="仿宋_GB2312" w:eastAsia="仿宋_GB2312" w:hAnsi="仿宋" w:hint="eastAsia"/>
          <w:sz w:val="32"/>
        </w:rPr>
        <w:t>基金份额持有人</w:t>
      </w:r>
      <w:r w:rsidR="002E4F7E" w:rsidRPr="002E4F7E">
        <w:rPr>
          <w:rFonts w:ascii="仿宋_GB2312" w:eastAsia="仿宋_GB2312" w:hAnsi="仿宋" w:hint="eastAsia"/>
          <w:sz w:val="32"/>
        </w:rPr>
        <w:t>在</w:t>
      </w:r>
      <w:r w:rsidR="002E4F7E">
        <w:rPr>
          <w:rFonts w:ascii="仿宋_GB2312" w:eastAsia="仿宋_GB2312" w:hAnsi="仿宋" w:hint="eastAsia"/>
          <w:sz w:val="32"/>
        </w:rPr>
        <w:t>决议</w:t>
      </w:r>
      <w:r w:rsidR="002E4F7E" w:rsidRPr="00AB2CAE">
        <w:rPr>
          <w:rFonts w:ascii="仿宋_GB2312" w:eastAsia="仿宋_GB2312" w:hAnsi="仿宋" w:hint="eastAsia"/>
          <w:sz w:val="32"/>
        </w:rPr>
        <w:t>文件上签名、盖章。</w:t>
      </w:r>
    </w:p>
    <w:p w:rsidR="000F27E9" w:rsidRDefault="000F27E9" w:rsidP="000F27E9">
      <w:pPr>
        <w:pStyle w:val="12"/>
        <w:numPr>
          <w:ilvl w:val="0"/>
          <w:numId w:val="3"/>
        </w:numPr>
        <w:tabs>
          <w:tab w:val="left" w:pos="1843"/>
        </w:tabs>
        <w:spacing w:before="0" w:after="0"/>
        <w:ind w:left="0" w:firstLineChars="202" w:firstLine="646"/>
        <w:rPr>
          <w:rFonts w:ascii="仿宋_GB2312" w:eastAsia="仿宋_GB2312" w:hAnsi="仿宋"/>
          <w:sz w:val="32"/>
        </w:rPr>
      </w:pPr>
      <w:r>
        <w:rPr>
          <w:rFonts w:ascii="仿宋_GB2312" w:eastAsia="仿宋_GB2312" w:hAnsi="仿宋" w:hint="eastAsia"/>
          <w:sz w:val="32"/>
        </w:rPr>
        <w:t>按照基金合同的约定，基金份额持有人大会</w:t>
      </w:r>
      <w:r w:rsidRPr="002E4F7E">
        <w:rPr>
          <w:rFonts w:ascii="仿宋_GB2312" w:eastAsia="仿宋_GB2312" w:hAnsi="仿宋" w:hint="eastAsia"/>
          <w:sz w:val="32"/>
        </w:rPr>
        <w:t>可以</w:t>
      </w:r>
      <w:r>
        <w:rPr>
          <w:rFonts w:ascii="仿宋_GB2312" w:eastAsia="仿宋_GB2312" w:hAnsi="仿宋" w:hint="eastAsia"/>
          <w:sz w:val="32"/>
        </w:rPr>
        <w:t>设立日常机构，行使下列职权：</w:t>
      </w:r>
    </w:p>
    <w:p w:rsidR="000F27E9" w:rsidRDefault="000F27E9" w:rsidP="000F27E9">
      <w:pPr>
        <w:pStyle w:val="12"/>
        <w:numPr>
          <w:ilvl w:val="0"/>
          <w:numId w:val="16"/>
        </w:numPr>
        <w:spacing w:before="0" w:after="0"/>
        <w:ind w:firstLineChars="0"/>
        <w:rPr>
          <w:rFonts w:ascii="仿宋_GB2312" w:eastAsia="仿宋_GB2312" w:hAnsi="仿宋"/>
          <w:sz w:val="32"/>
        </w:rPr>
      </w:pPr>
      <w:r>
        <w:rPr>
          <w:rFonts w:ascii="仿宋_GB2312" w:eastAsia="仿宋_GB2312" w:hAnsi="仿宋" w:hint="eastAsia"/>
          <w:sz w:val="32"/>
        </w:rPr>
        <w:t>召集基金份额持有人大会；</w:t>
      </w:r>
    </w:p>
    <w:p w:rsidR="000F27E9" w:rsidRDefault="000F27E9" w:rsidP="000F27E9">
      <w:pPr>
        <w:pStyle w:val="12"/>
        <w:numPr>
          <w:ilvl w:val="0"/>
          <w:numId w:val="16"/>
        </w:numPr>
        <w:spacing w:before="0" w:after="0"/>
        <w:ind w:firstLineChars="0"/>
        <w:rPr>
          <w:rFonts w:ascii="仿宋_GB2312" w:eastAsia="仿宋_GB2312" w:hAnsi="仿宋"/>
          <w:sz w:val="32"/>
        </w:rPr>
      </w:pPr>
      <w:r>
        <w:rPr>
          <w:rFonts w:ascii="仿宋_GB2312" w:eastAsia="仿宋_GB2312" w:hAnsi="仿宋" w:hint="eastAsia"/>
          <w:sz w:val="32"/>
        </w:rPr>
        <w:t>提请更换基金管理人、基金托管人；</w:t>
      </w:r>
    </w:p>
    <w:p w:rsidR="000F27E9" w:rsidRDefault="000F27E9" w:rsidP="00AB2CAE">
      <w:pPr>
        <w:pStyle w:val="12"/>
        <w:numPr>
          <w:ilvl w:val="0"/>
          <w:numId w:val="16"/>
        </w:numPr>
        <w:spacing w:before="0" w:after="0"/>
        <w:ind w:left="0" w:firstLineChars="0" w:firstLine="488"/>
        <w:rPr>
          <w:rFonts w:ascii="仿宋_GB2312" w:eastAsia="仿宋_GB2312" w:hAnsi="仿宋"/>
          <w:sz w:val="32"/>
        </w:rPr>
      </w:pPr>
      <w:r>
        <w:rPr>
          <w:rFonts w:ascii="仿宋_GB2312" w:eastAsia="仿宋_GB2312" w:hAnsi="仿宋" w:hint="eastAsia"/>
          <w:sz w:val="32"/>
        </w:rPr>
        <w:t>监督基金管理人</w:t>
      </w:r>
      <w:r w:rsidRPr="00AB2CAE">
        <w:rPr>
          <w:rFonts w:ascii="仿宋_GB2312" w:eastAsia="仿宋_GB2312" w:hAnsi="仿宋" w:hint="eastAsia"/>
          <w:sz w:val="32"/>
        </w:rPr>
        <w:t>和投资顾问（如有）</w:t>
      </w:r>
      <w:r>
        <w:rPr>
          <w:rFonts w:ascii="仿宋_GB2312" w:eastAsia="仿宋_GB2312" w:hAnsi="仿宋" w:hint="eastAsia"/>
          <w:sz w:val="32"/>
        </w:rPr>
        <w:t>的投资运作、基金托管人的托管活动；</w:t>
      </w:r>
    </w:p>
    <w:p w:rsidR="000F27E9" w:rsidRDefault="000F27E9" w:rsidP="00AB2CAE">
      <w:pPr>
        <w:pStyle w:val="12"/>
        <w:numPr>
          <w:ilvl w:val="0"/>
          <w:numId w:val="16"/>
        </w:numPr>
        <w:spacing w:before="0" w:after="0"/>
        <w:ind w:left="0" w:firstLineChars="0" w:firstLine="488"/>
        <w:rPr>
          <w:rFonts w:ascii="仿宋_GB2312" w:eastAsia="仿宋_GB2312" w:hAnsi="仿宋"/>
          <w:sz w:val="32"/>
        </w:rPr>
      </w:pPr>
      <w:r>
        <w:rPr>
          <w:rFonts w:ascii="仿宋_GB2312" w:eastAsia="仿宋_GB2312" w:hAnsi="仿宋" w:hint="eastAsia"/>
          <w:sz w:val="32"/>
        </w:rPr>
        <w:t>提请调整基金管理人、基金托管人</w:t>
      </w:r>
      <w:r w:rsidRPr="00AB2CAE">
        <w:rPr>
          <w:rFonts w:ascii="仿宋_GB2312" w:eastAsia="仿宋_GB2312" w:hAnsi="仿宋" w:hint="eastAsia"/>
          <w:sz w:val="32"/>
        </w:rPr>
        <w:t>和投资顾问（如有）</w:t>
      </w:r>
      <w:r>
        <w:rPr>
          <w:rFonts w:ascii="仿宋_GB2312" w:eastAsia="仿宋_GB2312" w:hAnsi="仿宋" w:hint="eastAsia"/>
          <w:sz w:val="32"/>
        </w:rPr>
        <w:t>的报酬标准；</w:t>
      </w:r>
    </w:p>
    <w:p w:rsidR="000F27E9" w:rsidRPr="00AB2CAE" w:rsidRDefault="000F27E9" w:rsidP="00AB2CAE">
      <w:pPr>
        <w:pStyle w:val="12"/>
        <w:numPr>
          <w:ilvl w:val="0"/>
          <w:numId w:val="16"/>
        </w:numPr>
        <w:spacing w:before="0" w:after="0"/>
        <w:ind w:left="0" w:firstLineChars="0" w:firstLine="488"/>
        <w:rPr>
          <w:rFonts w:ascii="仿宋_GB2312" w:eastAsia="仿宋_GB2312" w:hAnsi="仿宋"/>
          <w:sz w:val="32"/>
        </w:rPr>
      </w:pPr>
      <w:r w:rsidRPr="00AB2CAE">
        <w:rPr>
          <w:rFonts w:ascii="仿宋_GB2312" w:eastAsia="仿宋_GB2312" w:hAnsi="仿宋" w:hint="eastAsia"/>
          <w:sz w:val="32"/>
        </w:rPr>
        <w:t>按照合同约定或基金份额持有人大会授权行使本指引二十八条所列举的</w:t>
      </w:r>
      <w:r w:rsidR="003E7191">
        <w:rPr>
          <w:rFonts w:ascii="仿宋_GB2312" w:eastAsia="仿宋_GB2312" w:hAnsi="仿宋" w:hint="eastAsia"/>
          <w:sz w:val="32"/>
        </w:rPr>
        <w:t>部分或全部</w:t>
      </w:r>
      <w:r w:rsidRPr="00AB2CAE">
        <w:rPr>
          <w:rFonts w:ascii="仿宋_GB2312" w:eastAsia="仿宋_GB2312" w:hAnsi="仿宋" w:hint="eastAsia"/>
          <w:sz w:val="32"/>
        </w:rPr>
        <w:t>职责。</w:t>
      </w:r>
    </w:p>
    <w:p w:rsidR="00942936" w:rsidRPr="00942936" w:rsidRDefault="000F27E9">
      <w:pPr>
        <w:pStyle w:val="12"/>
        <w:numPr>
          <w:ilvl w:val="0"/>
          <w:numId w:val="16"/>
        </w:numPr>
        <w:spacing w:before="0" w:after="0"/>
        <w:ind w:firstLineChars="0"/>
        <w:rPr>
          <w:rFonts w:ascii="仿宋_GB2312" w:eastAsia="仿宋_GB2312" w:hAnsi="仿宋"/>
          <w:sz w:val="32"/>
        </w:rPr>
      </w:pPr>
      <w:r>
        <w:rPr>
          <w:rFonts w:ascii="仿宋_GB2312" w:eastAsia="仿宋_GB2312" w:hAnsi="仿宋" w:hint="eastAsia"/>
          <w:sz w:val="32"/>
        </w:rPr>
        <w:t>基金合同约定的其他职权。</w:t>
      </w:r>
    </w:p>
    <w:p w:rsidR="00942936" w:rsidRDefault="00942936" w:rsidP="000F27E9">
      <w:pPr>
        <w:pStyle w:val="12"/>
        <w:numPr>
          <w:ilvl w:val="0"/>
          <w:numId w:val="3"/>
        </w:numPr>
        <w:tabs>
          <w:tab w:val="left" w:pos="1843"/>
        </w:tabs>
        <w:spacing w:before="0" w:after="0"/>
        <w:ind w:left="0" w:firstLineChars="202" w:firstLine="646"/>
        <w:rPr>
          <w:rFonts w:ascii="仿宋_GB2312" w:eastAsia="仿宋_GB2312" w:hAnsi="仿宋"/>
          <w:sz w:val="32"/>
        </w:rPr>
      </w:pPr>
      <w:r>
        <w:rPr>
          <w:rFonts w:ascii="仿宋_GB2312" w:eastAsia="仿宋_GB2312" w:hAnsi="仿宋" w:hint="eastAsia"/>
          <w:sz w:val="32"/>
        </w:rPr>
        <w:t>基金份额持有人大会日常机构应当由基金份额持有人大会选举产生。</w:t>
      </w:r>
    </w:p>
    <w:p w:rsidR="00375B1F" w:rsidRDefault="00BA1C44" w:rsidP="000F27E9">
      <w:pPr>
        <w:pStyle w:val="12"/>
        <w:numPr>
          <w:ilvl w:val="0"/>
          <w:numId w:val="3"/>
        </w:numPr>
        <w:tabs>
          <w:tab w:val="left" w:pos="1843"/>
        </w:tabs>
        <w:spacing w:before="0" w:after="0"/>
        <w:ind w:left="0" w:firstLineChars="202" w:firstLine="646"/>
        <w:rPr>
          <w:rFonts w:ascii="仿宋_GB2312" w:eastAsia="仿宋_GB2312" w:hAnsi="仿宋"/>
          <w:sz w:val="32"/>
        </w:rPr>
      </w:pPr>
      <w:r>
        <w:rPr>
          <w:rFonts w:ascii="仿宋_GB2312" w:eastAsia="仿宋_GB2312" w:hAnsi="仿宋" w:hint="eastAsia"/>
          <w:sz w:val="32"/>
        </w:rPr>
        <w:t>根据《基金法》和其他有关规定订</w:t>
      </w:r>
      <w:proofErr w:type="gramStart"/>
      <w:r>
        <w:rPr>
          <w:rFonts w:ascii="仿宋_GB2312" w:eastAsia="仿宋_GB2312" w:hAnsi="仿宋" w:hint="eastAsia"/>
          <w:sz w:val="32"/>
        </w:rPr>
        <w:t>明基金</w:t>
      </w:r>
      <w:proofErr w:type="gramEnd"/>
      <w:r>
        <w:rPr>
          <w:rFonts w:ascii="仿宋_GB2312" w:eastAsia="仿宋_GB2312" w:hAnsi="仿宋" w:hint="eastAsia"/>
          <w:sz w:val="32"/>
        </w:rPr>
        <w:t>份额持有人大会</w:t>
      </w:r>
      <w:r w:rsidR="00942936" w:rsidRPr="00204CCB">
        <w:rPr>
          <w:rFonts w:ascii="仿宋_GB2312" w:eastAsia="仿宋_GB2312" w:hAnsi="仿宋" w:hint="eastAsia"/>
          <w:sz w:val="32"/>
        </w:rPr>
        <w:t>及</w:t>
      </w:r>
      <w:r w:rsidR="00942936" w:rsidRPr="00204CCB">
        <w:rPr>
          <w:rFonts w:ascii="仿宋_GB2312" w:eastAsia="仿宋_GB2312" w:hAnsi="仿宋"/>
          <w:sz w:val="32"/>
        </w:rPr>
        <w:t>/或日常机构</w:t>
      </w:r>
      <w:r>
        <w:rPr>
          <w:rFonts w:ascii="仿宋_GB2312" w:eastAsia="仿宋_GB2312" w:hAnsi="仿宋" w:hint="eastAsia"/>
          <w:sz w:val="32"/>
        </w:rPr>
        <w:t>的下列事项:</w:t>
      </w:r>
    </w:p>
    <w:p w:rsidR="00375B1F" w:rsidRDefault="00BA1C44" w:rsidP="00AB2CAE">
      <w:pPr>
        <w:pStyle w:val="12"/>
        <w:numPr>
          <w:ilvl w:val="0"/>
          <w:numId w:val="15"/>
        </w:numPr>
        <w:spacing w:before="0" w:after="0"/>
        <w:ind w:left="0" w:firstLineChars="177" w:firstLine="566"/>
        <w:rPr>
          <w:rFonts w:ascii="仿宋_GB2312" w:eastAsia="仿宋_GB2312" w:hAnsi="仿宋"/>
          <w:sz w:val="32"/>
        </w:rPr>
      </w:pPr>
      <w:r>
        <w:rPr>
          <w:rFonts w:ascii="仿宋_GB2312" w:eastAsia="仿宋_GB2312" w:hAnsi="仿宋" w:hint="eastAsia"/>
          <w:sz w:val="32"/>
        </w:rPr>
        <w:lastRenderedPageBreak/>
        <w:t>召集人和召集方式;</w:t>
      </w:r>
    </w:p>
    <w:p w:rsidR="00375B1F" w:rsidRDefault="00BA1C44" w:rsidP="00AB2CAE">
      <w:pPr>
        <w:pStyle w:val="12"/>
        <w:numPr>
          <w:ilvl w:val="0"/>
          <w:numId w:val="15"/>
        </w:numPr>
        <w:spacing w:before="0" w:after="0"/>
        <w:ind w:left="0" w:firstLineChars="177" w:firstLine="566"/>
        <w:rPr>
          <w:rFonts w:ascii="仿宋_GB2312" w:eastAsia="仿宋_GB2312" w:hAnsi="仿宋"/>
          <w:sz w:val="32"/>
        </w:rPr>
      </w:pPr>
      <w:r>
        <w:rPr>
          <w:rFonts w:ascii="仿宋_GB2312" w:eastAsia="仿宋_GB2312" w:hAnsi="仿宋" w:hint="eastAsia"/>
          <w:sz w:val="32"/>
        </w:rPr>
        <w:t>召开</w:t>
      </w:r>
      <w:r w:rsidRPr="00204CCB">
        <w:rPr>
          <w:rFonts w:ascii="仿宋_GB2312" w:eastAsia="仿宋_GB2312" w:hAnsi="仿宋" w:hint="eastAsia"/>
          <w:sz w:val="32"/>
        </w:rPr>
        <w:t>会</w:t>
      </w:r>
      <w:r w:rsidR="00942936" w:rsidRPr="00204CCB">
        <w:rPr>
          <w:rFonts w:ascii="仿宋_GB2312" w:eastAsia="仿宋_GB2312" w:hAnsi="仿宋" w:hint="eastAsia"/>
          <w:sz w:val="32"/>
        </w:rPr>
        <w:t>议</w:t>
      </w:r>
      <w:r w:rsidRPr="00204CCB">
        <w:rPr>
          <w:rFonts w:ascii="仿宋_GB2312" w:eastAsia="仿宋_GB2312" w:hAnsi="仿宋" w:hint="eastAsia"/>
          <w:sz w:val="32"/>
        </w:rPr>
        <w:t>的</w:t>
      </w:r>
      <w:r>
        <w:rPr>
          <w:rFonts w:ascii="仿宋_GB2312" w:eastAsia="仿宋_GB2312" w:hAnsi="仿宋" w:hint="eastAsia"/>
          <w:sz w:val="32"/>
        </w:rPr>
        <w:t>通知时间、通知内容、通知方式;</w:t>
      </w:r>
    </w:p>
    <w:p w:rsidR="00375B1F" w:rsidRDefault="00BA1C44" w:rsidP="00AB2CAE">
      <w:pPr>
        <w:pStyle w:val="12"/>
        <w:numPr>
          <w:ilvl w:val="0"/>
          <w:numId w:val="15"/>
        </w:numPr>
        <w:spacing w:before="0" w:after="0"/>
        <w:ind w:left="0" w:firstLineChars="177" w:firstLine="566"/>
        <w:rPr>
          <w:rFonts w:ascii="仿宋_GB2312" w:eastAsia="仿宋_GB2312" w:hAnsi="仿宋"/>
          <w:sz w:val="32"/>
        </w:rPr>
      </w:pPr>
      <w:r w:rsidRPr="00204CCB">
        <w:rPr>
          <w:rFonts w:ascii="仿宋_GB2312" w:eastAsia="仿宋_GB2312" w:hAnsi="仿宋" w:hint="eastAsia"/>
          <w:sz w:val="32"/>
        </w:rPr>
        <w:t>出席会议的方式</w:t>
      </w:r>
      <w:r w:rsidR="00B87508">
        <w:rPr>
          <w:rFonts w:ascii="仿宋_GB2312" w:eastAsia="仿宋_GB2312" w:hAnsi="仿宋" w:hint="eastAsia"/>
          <w:sz w:val="32"/>
        </w:rPr>
        <w:t>（包括但不限于现场会议、视频会议、电话会议等）</w:t>
      </w:r>
      <w:r>
        <w:rPr>
          <w:rFonts w:ascii="仿宋_GB2312" w:eastAsia="仿宋_GB2312" w:hAnsi="仿宋" w:hint="eastAsia"/>
          <w:sz w:val="32"/>
        </w:rPr>
        <w:t>;</w:t>
      </w:r>
    </w:p>
    <w:p w:rsidR="00375B1F" w:rsidRDefault="00BA1C44" w:rsidP="00AB2CAE">
      <w:pPr>
        <w:pStyle w:val="12"/>
        <w:numPr>
          <w:ilvl w:val="0"/>
          <w:numId w:val="15"/>
        </w:numPr>
        <w:spacing w:before="0" w:after="0"/>
        <w:ind w:left="0" w:firstLineChars="177" w:firstLine="566"/>
        <w:rPr>
          <w:rFonts w:ascii="仿宋_GB2312" w:eastAsia="仿宋_GB2312" w:hAnsi="仿宋"/>
          <w:sz w:val="32"/>
        </w:rPr>
      </w:pPr>
      <w:r>
        <w:rPr>
          <w:rFonts w:ascii="仿宋_GB2312" w:eastAsia="仿宋_GB2312" w:hAnsi="仿宋" w:hint="eastAsia"/>
          <w:sz w:val="32"/>
        </w:rPr>
        <w:t>议事内容与程序;</w:t>
      </w:r>
    </w:p>
    <w:p w:rsidR="00375B1F" w:rsidRDefault="00BA1C44" w:rsidP="00AB2CAE">
      <w:pPr>
        <w:pStyle w:val="12"/>
        <w:numPr>
          <w:ilvl w:val="0"/>
          <w:numId w:val="15"/>
        </w:numPr>
        <w:spacing w:before="0" w:after="0"/>
        <w:ind w:left="0" w:firstLineChars="177" w:firstLine="566"/>
        <w:rPr>
          <w:rFonts w:ascii="仿宋_GB2312" w:eastAsia="仿宋_GB2312" w:hAnsi="仿宋"/>
          <w:sz w:val="32"/>
        </w:rPr>
      </w:pPr>
      <w:r>
        <w:rPr>
          <w:rFonts w:ascii="仿宋_GB2312" w:eastAsia="仿宋_GB2312" w:hAnsi="仿宋" w:hint="eastAsia"/>
          <w:sz w:val="32"/>
        </w:rPr>
        <w:t>决议形成的条件、表决方式、程序。</w:t>
      </w:r>
    </w:p>
    <w:p w:rsidR="00375B1F" w:rsidRDefault="00BA1C44">
      <w:pPr>
        <w:pStyle w:val="a"/>
        <w:spacing w:before="0" w:after="0"/>
        <w:rPr>
          <w:sz w:val="32"/>
        </w:rPr>
      </w:pPr>
      <w:bookmarkStart w:id="64" w:name="_Toc437344452"/>
      <w:bookmarkStart w:id="65" w:name="_Toc437348780"/>
      <w:bookmarkStart w:id="66" w:name="_Toc437525270"/>
      <w:bookmarkStart w:id="67" w:name="_Toc437529517"/>
      <w:bookmarkStart w:id="68" w:name="_Toc437531442"/>
      <w:bookmarkStart w:id="69" w:name="_Toc438051761"/>
      <w:bookmarkStart w:id="70" w:name="_Toc437525271"/>
      <w:bookmarkStart w:id="71" w:name="_Toc437529518"/>
      <w:bookmarkStart w:id="72" w:name="_Toc437531443"/>
      <w:bookmarkStart w:id="73" w:name="_Toc438051762"/>
      <w:bookmarkStart w:id="74" w:name="_Toc437344453"/>
      <w:bookmarkStart w:id="75" w:name="_Toc437348781"/>
      <w:bookmarkStart w:id="76" w:name="_Toc437525272"/>
      <w:bookmarkStart w:id="77" w:name="_Toc437529519"/>
      <w:bookmarkStart w:id="78" w:name="_Toc437531444"/>
      <w:bookmarkStart w:id="79" w:name="_Toc438051763"/>
      <w:bookmarkStart w:id="80" w:name="_Toc437344454"/>
      <w:bookmarkStart w:id="81" w:name="_Toc437348782"/>
      <w:bookmarkStart w:id="82" w:name="_Toc437525273"/>
      <w:bookmarkStart w:id="83" w:name="_Toc437529520"/>
      <w:bookmarkStart w:id="84" w:name="_Toc437531445"/>
      <w:bookmarkStart w:id="85" w:name="_Toc438051764"/>
      <w:bookmarkStart w:id="86" w:name="_Toc437344455"/>
      <w:bookmarkStart w:id="87" w:name="_Toc437348783"/>
      <w:bookmarkStart w:id="88" w:name="_Toc437525274"/>
      <w:bookmarkStart w:id="89" w:name="_Toc437529521"/>
      <w:bookmarkStart w:id="90" w:name="_Toc437531446"/>
      <w:bookmarkStart w:id="91" w:name="_Toc438051765"/>
      <w:bookmarkStart w:id="92" w:name="_Toc437344456"/>
      <w:bookmarkStart w:id="93" w:name="_Toc437348784"/>
      <w:bookmarkStart w:id="94" w:name="_Toc437525275"/>
      <w:bookmarkStart w:id="95" w:name="_Toc437529522"/>
      <w:bookmarkStart w:id="96" w:name="_Toc437531447"/>
      <w:bookmarkStart w:id="97" w:name="_Toc438051766"/>
      <w:bookmarkStart w:id="98" w:name="_Toc437344457"/>
      <w:bookmarkStart w:id="99" w:name="_Toc437348785"/>
      <w:bookmarkStart w:id="100" w:name="_Toc437525276"/>
      <w:bookmarkStart w:id="101" w:name="_Toc437529523"/>
      <w:bookmarkStart w:id="102" w:name="_Toc437531448"/>
      <w:bookmarkStart w:id="103" w:name="_Toc438051767"/>
      <w:bookmarkStart w:id="104" w:name="_Toc437344458"/>
      <w:bookmarkStart w:id="105" w:name="_Toc437348786"/>
      <w:bookmarkStart w:id="106" w:name="_Toc437525277"/>
      <w:bookmarkStart w:id="107" w:name="_Toc437529524"/>
      <w:bookmarkStart w:id="108" w:name="_Toc437531449"/>
      <w:bookmarkStart w:id="109" w:name="_Toc438051768"/>
      <w:bookmarkStart w:id="110" w:name="_Toc437344459"/>
      <w:bookmarkStart w:id="111" w:name="_Toc437348787"/>
      <w:bookmarkStart w:id="112" w:name="_Toc437525278"/>
      <w:bookmarkStart w:id="113" w:name="_Toc437529525"/>
      <w:bookmarkStart w:id="114" w:name="_Toc437531450"/>
      <w:bookmarkStart w:id="115" w:name="_Toc438051769"/>
      <w:bookmarkStart w:id="116" w:name="_Toc437344460"/>
      <w:bookmarkStart w:id="117" w:name="_Toc437348788"/>
      <w:bookmarkStart w:id="118" w:name="_Toc437525279"/>
      <w:bookmarkStart w:id="119" w:name="_Toc437529526"/>
      <w:bookmarkStart w:id="120" w:name="_Toc437531451"/>
      <w:bookmarkStart w:id="121" w:name="_Toc438051770"/>
      <w:bookmarkStart w:id="122" w:name="_Toc437344461"/>
      <w:bookmarkStart w:id="123" w:name="_Toc437348789"/>
      <w:bookmarkStart w:id="124" w:name="_Toc437525280"/>
      <w:bookmarkStart w:id="125" w:name="_Toc437529527"/>
      <w:bookmarkStart w:id="126" w:name="_Toc437531452"/>
      <w:bookmarkStart w:id="127" w:name="_Toc438051771"/>
      <w:bookmarkStart w:id="128" w:name="_Toc437344462"/>
      <w:bookmarkStart w:id="129" w:name="_Toc437348790"/>
      <w:bookmarkStart w:id="130" w:name="_Toc437525281"/>
      <w:bookmarkStart w:id="131" w:name="_Toc437529528"/>
      <w:bookmarkStart w:id="132" w:name="_Toc437531453"/>
      <w:bookmarkStart w:id="133" w:name="_Toc438051772"/>
      <w:bookmarkStart w:id="134" w:name="_Toc437344463"/>
      <w:bookmarkStart w:id="135" w:name="_Toc437348791"/>
      <w:bookmarkStart w:id="136" w:name="_Toc437525282"/>
      <w:bookmarkStart w:id="137" w:name="_Toc437529529"/>
      <w:bookmarkStart w:id="138" w:name="_Toc437531454"/>
      <w:bookmarkStart w:id="139" w:name="_Toc438051773"/>
      <w:bookmarkStart w:id="140" w:name="_Toc437344464"/>
      <w:bookmarkStart w:id="141" w:name="_Toc437348792"/>
      <w:bookmarkStart w:id="142" w:name="_Toc437525283"/>
      <w:bookmarkStart w:id="143" w:name="_Toc437529530"/>
      <w:bookmarkStart w:id="144" w:name="_Toc437531455"/>
      <w:bookmarkStart w:id="145" w:name="_Toc438051774"/>
      <w:bookmarkStart w:id="146" w:name="_Toc437344465"/>
      <w:bookmarkStart w:id="147" w:name="_Toc437348793"/>
      <w:bookmarkStart w:id="148" w:name="_Toc437525284"/>
      <w:bookmarkStart w:id="149" w:name="_Toc437529531"/>
      <w:bookmarkStart w:id="150" w:name="_Toc437531456"/>
      <w:bookmarkStart w:id="151" w:name="_Toc438051775"/>
      <w:bookmarkStart w:id="152" w:name="_Toc437344466"/>
      <w:bookmarkStart w:id="153" w:name="_Toc437348794"/>
      <w:bookmarkStart w:id="154" w:name="_Toc437525285"/>
      <w:bookmarkStart w:id="155" w:name="_Toc437529532"/>
      <w:bookmarkStart w:id="156" w:name="_Toc437531457"/>
      <w:bookmarkStart w:id="157" w:name="_Toc438051776"/>
      <w:bookmarkStart w:id="158" w:name="_Toc437344467"/>
      <w:bookmarkStart w:id="159" w:name="_Toc437348795"/>
      <w:bookmarkStart w:id="160" w:name="_Toc437525286"/>
      <w:bookmarkStart w:id="161" w:name="_Toc437529533"/>
      <w:bookmarkStart w:id="162" w:name="_Toc437531458"/>
      <w:bookmarkStart w:id="163" w:name="_Toc438051777"/>
      <w:bookmarkStart w:id="164" w:name="_Toc437344468"/>
      <w:bookmarkStart w:id="165" w:name="_Toc437348796"/>
      <w:bookmarkStart w:id="166" w:name="_Toc437525287"/>
      <w:bookmarkStart w:id="167" w:name="_Toc437529534"/>
      <w:bookmarkStart w:id="168" w:name="_Toc437531459"/>
      <w:bookmarkStart w:id="169" w:name="_Toc438051778"/>
      <w:bookmarkStart w:id="170" w:name="_Toc436208198"/>
      <w:bookmarkStart w:id="171" w:name="_Toc436493490"/>
      <w:bookmarkStart w:id="172" w:name="_Toc436496801"/>
      <w:bookmarkStart w:id="173" w:name="_Toc436641392"/>
      <w:bookmarkStart w:id="174" w:name="_Toc436666045"/>
      <w:bookmarkStart w:id="175" w:name="_Toc436667378"/>
      <w:bookmarkStart w:id="176" w:name="_Toc436669191"/>
      <w:bookmarkStart w:id="177" w:name="_Toc436669953"/>
      <w:bookmarkStart w:id="178" w:name="_Toc436672350"/>
      <w:bookmarkStart w:id="179" w:name="_Toc436752534"/>
      <w:bookmarkStart w:id="180" w:name="_Toc436817832"/>
      <w:bookmarkStart w:id="181" w:name="_Toc437344469"/>
      <w:bookmarkStart w:id="182" w:name="_Toc437348797"/>
      <w:bookmarkStart w:id="183" w:name="_Toc437525288"/>
      <w:bookmarkStart w:id="184" w:name="_Toc437529535"/>
      <w:bookmarkStart w:id="185" w:name="_Toc437531460"/>
      <w:bookmarkStart w:id="186" w:name="_Toc438051779"/>
      <w:bookmarkStart w:id="187" w:name="_Toc43805178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sz w:val="32"/>
        </w:rPr>
        <w:t>私募基金份额的登记</w:t>
      </w:r>
      <w:bookmarkEnd w:id="187"/>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订明私募基金管理人办理份额登记业务的各项事宜。说明私募基金管理人委托可办理私募基金份额登记业务的其他机构代为办理私募基金份额登记业务的，应当与有关机构签订委托代理协议，并</w:t>
      </w:r>
      <w:r>
        <w:rPr>
          <w:rFonts w:ascii="仿宋_GB2312" w:eastAsia="仿宋_GB2312" w:hAnsi="仿宋"/>
          <w:sz w:val="32"/>
          <w:szCs w:val="32"/>
        </w:rPr>
        <w:t>订明</w:t>
      </w:r>
      <w:r>
        <w:rPr>
          <w:rFonts w:ascii="仿宋_GB2312" w:eastAsia="仿宋_GB2312" w:hAnsi="仿宋" w:hint="eastAsia"/>
          <w:sz w:val="32"/>
          <w:szCs w:val="32"/>
        </w:rPr>
        <w:t>份额登记机构的名称、外包业务登记编码、代为办理私募基金份额登记机构的权限和职责等。</w:t>
      </w:r>
    </w:p>
    <w:p w:rsidR="00FF25DE" w:rsidRPr="00E8731E" w:rsidRDefault="00FF25DE" w:rsidP="00E8731E">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明全体</w:t>
      </w:r>
      <w:proofErr w:type="gramEnd"/>
      <w:r w:rsidR="00354BBF">
        <w:rPr>
          <w:rFonts w:ascii="仿宋_GB2312" w:eastAsia="仿宋_GB2312" w:hAnsi="仿宋" w:hint="eastAsia"/>
          <w:sz w:val="32"/>
          <w:szCs w:val="32"/>
        </w:rPr>
        <w:t>基金</w:t>
      </w:r>
      <w:r>
        <w:rPr>
          <w:rFonts w:ascii="仿宋_GB2312" w:eastAsia="仿宋_GB2312" w:hAnsi="仿宋" w:hint="eastAsia"/>
          <w:sz w:val="32"/>
          <w:szCs w:val="32"/>
        </w:rPr>
        <w:t>份额持有人同意私募基金管理人、份额登记机构或其他</w:t>
      </w:r>
      <w:r w:rsidR="00E8731E">
        <w:rPr>
          <w:rFonts w:ascii="仿宋_GB2312" w:eastAsia="仿宋_GB2312" w:hint="eastAsia"/>
          <w:sz w:val="32"/>
          <w:szCs w:val="32"/>
        </w:rPr>
        <w:t>份额登记</w:t>
      </w:r>
      <w:r w:rsidRPr="00AB37F0">
        <w:rPr>
          <w:rFonts w:ascii="仿宋_GB2312" w:eastAsia="仿宋_GB2312" w:hint="eastAsia"/>
          <w:sz w:val="32"/>
          <w:szCs w:val="32"/>
        </w:rPr>
        <w:t>义务人应当按照</w:t>
      </w:r>
      <w:r w:rsidR="00FF505D">
        <w:rPr>
          <w:rFonts w:ascii="仿宋_GB2312" w:eastAsia="仿宋_GB2312" w:hint="eastAsia"/>
          <w:sz w:val="32"/>
          <w:szCs w:val="32"/>
        </w:rPr>
        <w:t>中国基金业协会</w:t>
      </w:r>
      <w:r w:rsidRPr="00AB37F0">
        <w:rPr>
          <w:rFonts w:ascii="仿宋_GB2312" w:eastAsia="仿宋_GB2312" w:hint="eastAsia"/>
          <w:sz w:val="32"/>
          <w:szCs w:val="32"/>
        </w:rPr>
        <w:t>的规定</w:t>
      </w:r>
      <w:r w:rsidR="00E8731E">
        <w:rPr>
          <w:rFonts w:ascii="仿宋_GB2312" w:eastAsia="仿宋_GB2312" w:hAnsi="仿宋" w:hint="eastAsia"/>
          <w:sz w:val="32"/>
          <w:szCs w:val="32"/>
        </w:rPr>
        <w:t>办理基金份额</w:t>
      </w:r>
      <w:r w:rsidR="00354BBF">
        <w:rPr>
          <w:rFonts w:ascii="仿宋_GB2312" w:eastAsia="仿宋_GB2312" w:hAnsi="仿宋" w:hint="eastAsia"/>
          <w:sz w:val="32"/>
          <w:szCs w:val="32"/>
        </w:rPr>
        <w:t>登记</w:t>
      </w:r>
      <w:r w:rsidR="00E8731E">
        <w:rPr>
          <w:rFonts w:ascii="仿宋_GB2312" w:eastAsia="仿宋_GB2312" w:hAnsi="仿宋" w:hint="eastAsia"/>
          <w:sz w:val="32"/>
          <w:szCs w:val="32"/>
        </w:rPr>
        <w:t>数据的备份</w:t>
      </w:r>
      <w:r w:rsidRPr="00E8731E">
        <w:rPr>
          <w:rFonts w:ascii="仿宋_GB2312" w:eastAsia="仿宋_GB2312" w:hint="eastAsia"/>
          <w:sz w:val="32"/>
          <w:szCs w:val="32"/>
        </w:rPr>
        <w:t>。</w:t>
      </w:r>
    </w:p>
    <w:p w:rsidR="00375B1F" w:rsidRDefault="00BA1C44">
      <w:pPr>
        <w:pStyle w:val="a"/>
        <w:spacing w:before="0" w:after="0"/>
        <w:rPr>
          <w:sz w:val="32"/>
        </w:rPr>
      </w:pPr>
      <w:bookmarkStart w:id="188" w:name="_Toc438051781"/>
      <w:r>
        <w:rPr>
          <w:rFonts w:hint="eastAsia"/>
          <w:sz w:val="32"/>
        </w:rPr>
        <w:t>私募基金的投资</w:t>
      </w:r>
      <w:bookmarkEnd w:id="188"/>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说明私募基金财产投资的有关事项，包括但不限于：</w:t>
      </w:r>
    </w:p>
    <w:p w:rsidR="00375B1F" w:rsidRDefault="00BA1C44" w:rsidP="00AB2CAE">
      <w:pPr>
        <w:pStyle w:val="12"/>
        <w:numPr>
          <w:ilvl w:val="0"/>
          <w:numId w:val="19"/>
        </w:numPr>
        <w:spacing w:before="0" w:after="0"/>
        <w:ind w:left="908" w:firstLineChars="0"/>
        <w:rPr>
          <w:rFonts w:ascii="仿宋_GB2312" w:eastAsia="仿宋_GB2312" w:hAnsi="仿宋"/>
          <w:sz w:val="32"/>
          <w:szCs w:val="32"/>
        </w:rPr>
      </w:pPr>
      <w:r>
        <w:rPr>
          <w:rFonts w:ascii="仿宋_GB2312" w:eastAsia="仿宋_GB2312" w:hAnsi="仿宋" w:hint="eastAsia"/>
          <w:sz w:val="32"/>
          <w:szCs w:val="32"/>
        </w:rPr>
        <w:t>投资目标；</w:t>
      </w:r>
    </w:p>
    <w:p w:rsidR="00375B1F" w:rsidRDefault="00BA1C44" w:rsidP="00AB2CAE">
      <w:pPr>
        <w:pStyle w:val="12"/>
        <w:numPr>
          <w:ilvl w:val="0"/>
          <w:numId w:val="19"/>
        </w:numPr>
        <w:spacing w:before="0" w:after="0"/>
        <w:ind w:left="68" w:firstLineChars="0" w:firstLine="420"/>
        <w:rPr>
          <w:rFonts w:ascii="仿宋_GB2312" w:eastAsia="仿宋_GB2312" w:hAnsi="仿宋"/>
          <w:sz w:val="32"/>
          <w:szCs w:val="32"/>
        </w:rPr>
      </w:pPr>
      <w:r>
        <w:rPr>
          <w:rFonts w:ascii="仿宋_GB2312" w:eastAsia="仿宋_GB2312" w:hAnsi="仿宋" w:hint="eastAsia"/>
          <w:sz w:val="32"/>
          <w:szCs w:val="32"/>
        </w:rPr>
        <w:t>投资范围；</w:t>
      </w:r>
      <w:r w:rsidR="005A3BAF" w:rsidDel="005A3BAF">
        <w:rPr>
          <w:rFonts w:ascii="仿宋_GB2312" w:eastAsia="仿宋_GB2312" w:hAnsi="仿宋" w:hint="eastAsia"/>
          <w:sz w:val="32"/>
          <w:szCs w:val="32"/>
        </w:rPr>
        <w:t xml:space="preserve"> </w:t>
      </w:r>
    </w:p>
    <w:p w:rsidR="00375B1F" w:rsidRDefault="00BA1C44" w:rsidP="00AB2CAE">
      <w:pPr>
        <w:pStyle w:val="12"/>
        <w:numPr>
          <w:ilvl w:val="0"/>
          <w:numId w:val="19"/>
        </w:numPr>
        <w:spacing w:before="0" w:after="0"/>
        <w:ind w:left="68" w:firstLineChars="0" w:firstLine="420"/>
        <w:rPr>
          <w:rFonts w:ascii="仿宋_GB2312" w:eastAsia="仿宋_GB2312" w:hAnsi="仿宋"/>
          <w:sz w:val="32"/>
          <w:szCs w:val="32"/>
        </w:rPr>
      </w:pPr>
      <w:r>
        <w:rPr>
          <w:rFonts w:ascii="仿宋_GB2312" w:eastAsia="仿宋_GB2312" w:hAnsi="仿宋" w:hint="eastAsia"/>
          <w:sz w:val="32"/>
          <w:szCs w:val="32"/>
        </w:rPr>
        <w:t>投资策略；</w:t>
      </w:r>
    </w:p>
    <w:p w:rsidR="00375B1F" w:rsidRDefault="00BA1C44">
      <w:pPr>
        <w:pStyle w:val="12"/>
        <w:numPr>
          <w:ilvl w:val="0"/>
          <w:numId w:val="1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lastRenderedPageBreak/>
        <w:t>投资限制，</w:t>
      </w:r>
      <w:r>
        <w:rPr>
          <w:rFonts w:ascii="仿宋_GB2312" w:eastAsia="仿宋_GB2312" w:hAnsi="仿宋"/>
          <w:sz w:val="32"/>
          <w:szCs w:val="32"/>
        </w:rPr>
        <w:t>订明</w:t>
      </w:r>
      <w:r>
        <w:rPr>
          <w:rFonts w:ascii="仿宋_GB2312" w:eastAsia="仿宋_GB2312" w:hAnsi="仿宋" w:hint="eastAsia"/>
          <w:sz w:val="32"/>
          <w:szCs w:val="32"/>
        </w:rPr>
        <w:t>按照《暂行办法》</w:t>
      </w:r>
      <w:r w:rsidR="002D39D2">
        <w:rPr>
          <w:rFonts w:ascii="仿宋_GB2312" w:eastAsia="仿宋_GB2312" w:hAnsi="仿宋" w:hint="eastAsia"/>
          <w:sz w:val="32"/>
          <w:szCs w:val="32"/>
        </w:rPr>
        <w:t>、自律规则</w:t>
      </w:r>
      <w:r>
        <w:rPr>
          <w:rFonts w:ascii="仿宋_GB2312" w:eastAsia="仿宋_GB2312" w:hAnsi="仿宋" w:hint="eastAsia"/>
          <w:sz w:val="32"/>
          <w:szCs w:val="32"/>
        </w:rPr>
        <w:t>及其他有关规定和合同约定禁止或限制的投资事项；</w:t>
      </w:r>
    </w:p>
    <w:p w:rsidR="00375B1F" w:rsidRDefault="00BA1C44">
      <w:pPr>
        <w:pStyle w:val="12"/>
        <w:numPr>
          <w:ilvl w:val="0"/>
          <w:numId w:val="19"/>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对于基金合同、交易行为中存在的或可能存在利益冲突的情形及处理方式进行说明；</w:t>
      </w:r>
    </w:p>
    <w:p w:rsidR="005A3BAF" w:rsidRDefault="00BA1C44">
      <w:pPr>
        <w:pStyle w:val="12"/>
        <w:numPr>
          <w:ilvl w:val="0"/>
          <w:numId w:val="19"/>
        </w:numPr>
        <w:spacing w:before="0" w:after="0"/>
        <w:ind w:firstLineChars="0"/>
        <w:rPr>
          <w:rFonts w:ascii="仿宋_GB2312" w:eastAsia="仿宋_GB2312" w:hAnsi="仿宋"/>
          <w:sz w:val="32"/>
          <w:szCs w:val="32"/>
        </w:rPr>
      </w:pPr>
      <w:r>
        <w:rPr>
          <w:rFonts w:ascii="仿宋_GB2312" w:eastAsia="仿宋_GB2312" w:hAnsi="仿宋" w:hint="eastAsia"/>
          <w:sz w:val="32"/>
          <w:szCs w:val="32"/>
        </w:rPr>
        <w:t>业绩比较基准（如有）</w:t>
      </w:r>
      <w:r w:rsidR="005A3BAF">
        <w:rPr>
          <w:rFonts w:ascii="仿宋_GB2312" w:eastAsia="仿宋_GB2312" w:hAnsi="仿宋" w:hint="eastAsia"/>
          <w:sz w:val="32"/>
          <w:szCs w:val="32"/>
        </w:rPr>
        <w:t>；</w:t>
      </w:r>
    </w:p>
    <w:p w:rsidR="00375B1F" w:rsidRDefault="005A3BAF">
      <w:pPr>
        <w:pStyle w:val="12"/>
        <w:numPr>
          <w:ilvl w:val="0"/>
          <w:numId w:val="19"/>
        </w:numPr>
        <w:spacing w:before="0" w:after="0"/>
        <w:ind w:firstLineChars="0"/>
        <w:rPr>
          <w:rFonts w:ascii="仿宋_GB2312" w:eastAsia="仿宋_GB2312" w:hAnsi="仿宋"/>
          <w:sz w:val="32"/>
          <w:szCs w:val="32"/>
        </w:rPr>
      </w:pPr>
      <w:r>
        <w:rPr>
          <w:rFonts w:ascii="仿宋_GB2312" w:eastAsia="仿宋_GB2312" w:hAnsi="仿宋" w:hint="eastAsia"/>
          <w:sz w:val="32"/>
          <w:szCs w:val="32"/>
        </w:rPr>
        <w:t>参与融资融券及其他场外证券业务</w:t>
      </w:r>
      <w:r w:rsidR="00303228">
        <w:rPr>
          <w:rFonts w:ascii="仿宋_GB2312" w:eastAsia="仿宋_GB2312" w:hAnsi="仿宋" w:hint="eastAsia"/>
          <w:sz w:val="32"/>
          <w:szCs w:val="32"/>
        </w:rPr>
        <w:t>的情况（如有）</w:t>
      </w:r>
      <w:r>
        <w:rPr>
          <w:rFonts w:ascii="仿宋_GB2312" w:eastAsia="仿宋_GB2312" w:hAnsi="仿宋" w:hint="eastAsia"/>
          <w:sz w:val="32"/>
          <w:szCs w:val="32"/>
        </w:rPr>
        <w:t>。</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根据合同约定，可以订明私募基金管理人负责指定私募基金投资经理或投资关键人士，</w:t>
      </w:r>
      <w:r>
        <w:rPr>
          <w:rFonts w:ascii="仿宋_GB2312" w:eastAsia="仿宋_GB2312" w:hAnsi="仿宋"/>
          <w:sz w:val="32"/>
          <w:szCs w:val="32"/>
        </w:rPr>
        <w:t>订明</w:t>
      </w:r>
      <w:r>
        <w:rPr>
          <w:rFonts w:ascii="仿宋_GB2312" w:eastAsia="仿宋_GB2312" w:hAnsi="仿宋" w:hint="eastAsia"/>
          <w:sz w:val="32"/>
          <w:szCs w:val="32"/>
        </w:rPr>
        <w:t>投资经理或投资关键人士的基本情况、变更条件和程序。</w:t>
      </w:r>
    </w:p>
    <w:p w:rsidR="00375B1F" w:rsidRDefault="00BA1C44">
      <w:pPr>
        <w:pStyle w:val="a"/>
        <w:spacing w:before="0" w:after="0"/>
        <w:rPr>
          <w:sz w:val="32"/>
        </w:rPr>
      </w:pPr>
      <w:bookmarkStart w:id="189" w:name="_Toc438051782"/>
      <w:r>
        <w:rPr>
          <w:rFonts w:hint="eastAsia"/>
          <w:sz w:val="32"/>
        </w:rPr>
        <w:t>私募基金的财产</w:t>
      </w:r>
      <w:bookmarkEnd w:id="189"/>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与私募基金财产有关的事项，包括但不限于：</w:t>
      </w:r>
    </w:p>
    <w:p w:rsidR="00375B1F" w:rsidRDefault="00BA1C44">
      <w:pPr>
        <w:pStyle w:val="12"/>
        <w:numPr>
          <w:ilvl w:val="0"/>
          <w:numId w:val="20"/>
        </w:numPr>
        <w:spacing w:before="0" w:after="0"/>
        <w:ind w:rightChars="236" w:right="566" w:firstLineChars="0"/>
        <w:rPr>
          <w:rFonts w:ascii="仿宋_GB2312" w:eastAsia="仿宋_GB2312" w:hAnsi="仿宋"/>
          <w:sz w:val="32"/>
          <w:szCs w:val="32"/>
        </w:rPr>
      </w:pPr>
      <w:r>
        <w:rPr>
          <w:rFonts w:ascii="仿宋_GB2312" w:eastAsia="仿宋_GB2312" w:hAnsi="仿宋" w:hint="eastAsia"/>
          <w:sz w:val="32"/>
          <w:szCs w:val="32"/>
        </w:rPr>
        <w:t>私募基金财产的保管与处分</w:t>
      </w:r>
    </w:p>
    <w:p w:rsidR="00375B1F" w:rsidRDefault="00BA1C44">
      <w:pPr>
        <w:pStyle w:val="12"/>
        <w:numPr>
          <w:ilvl w:val="0"/>
          <w:numId w:val="2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说明私募基金财产应独立于私募基金管理人、私募基金托管人的固有财产，并由私募基金托管人保管。私募基金管理人、私募基金托管人不得将私募基金财产归入其固有财产。</w:t>
      </w:r>
    </w:p>
    <w:p w:rsidR="00375B1F" w:rsidRDefault="00BA1C44">
      <w:pPr>
        <w:pStyle w:val="12"/>
        <w:numPr>
          <w:ilvl w:val="0"/>
          <w:numId w:val="2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说明私募基金管理人、私募基金托管人因私募基金财产的管理、运用或者其他情形而取得的财产和收益归入私募基金财产。</w:t>
      </w:r>
    </w:p>
    <w:p w:rsidR="00375B1F" w:rsidRDefault="00BA1C44">
      <w:pPr>
        <w:pStyle w:val="12"/>
        <w:numPr>
          <w:ilvl w:val="0"/>
          <w:numId w:val="2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说明私募基金管理人、私募基金托管人可以按照合同的约定收取管理费用、托管费用以及基金合同约定的其他费用。私募基金管理人、私募基金托管人以其固有财产承担法律责任，其债</w:t>
      </w:r>
      <w:r>
        <w:rPr>
          <w:rFonts w:ascii="仿宋_GB2312" w:eastAsia="仿宋_GB2312" w:hAnsi="仿宋" w:hint="eastAsia"/>
          <w:sz w:val="32"/>
          <w:szCs w:val="32"/>
        </w:rPr>
        <w:lastRenderedPageBreak/>
        <w:t>权人不得对私募基金财产行使请求冻结、扣押和其他权利。私募基金管理人、私募基金托管人因依法解散、被依法撤销或者被依法宣告破产等原因进行清算的，私募基金财产不属于其清算财产。</w:t>
      </w:r>
    </w:p>
    <w:p w:rsidR="00375B1F" w:rsidRDefault="00BA1C44">
      <w:pPr>
        <w:pStyle w:val="12"/>
        <w:numPr>
          <w:ilvl w:val="0"/>
          <w:numId w:val="2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说明私募基金财产产生的债权不得与不属于私募基金财产本身的债务相互</w:t>
      </w:r>
      <w:proofErr w:type="gramStart"/>
      <w:r>
        <w:rPr>
          <w:rFonts w:ascii="仿宋_GB2312" w:eastAsia="仿宋_GB2312" w:hAnsi="仿宋" w:hint="eastAsia"/>
          <w:sz w:val="32"/>
          <w:szCs w:val="32"/>
        </w:rPr>
        <w:t>抵销</w:t>
      </w:r>
      <w:proofErr w:type="gramEnd"/>
      <w:r>
        <w:rPr>
          <w:rFonts w:ascii="仿宋_GB2312" w:eastAsia="仿宋_GB2312" w:hAnsi="仿宋" w:hint="eastAsia"/>
          <w:sz w:val="32"/>
          <w:szCs w:val="32"/>
        </w:rPr>
        <w:t>。非因私募基金财产本身承担的债务，私募基金管理人、私募基金托管人不得主张其债权人对私募基金财产强制执行。上述债权人对私募基金财产主张权利时，私募基金管理人、私募基金托管人应明确告知私募基金财产的独立性。</w:t>
      </w:r>
    </w:p>
    <w:p w:rsidR="00375B1F" w:rsidRDefault="00BA1C44">
      <w:pPr>
        <w:pStyle w:val="12"/>
        <w:numPr>
          <w:ilvl w:val="0"/>
          <w:numId w:val="20"/>
        </w:numPr>
        <w:spacing w:before="0" w:after="0"/>
        <w:ind w:rightChars="236" w:right="566" w:firstLineChars="0"/>
        <w:rPr>
          <w:rFonts w:ascii="仿宋_GB2312" w:eastAsia="仿宋_GB2312" w:hAnsi="仿宋"/>
          <w:sz w:val="32"/>
          <w:szCs w:val="32"/>
        </w:rPr>
      </w:pPr>
      <w:r>
        <w:rPr>
          <w:rFonts w:ascii="仿宋_GB2312" w:eastAsia="仿宋_GB2312" w:hAnsi="仿宋" w:hint="eastAsia"/>
          <w:sz w:val="32"/>
          <w:szCs w:val="32"/>
        </w:rPr>
        <w:t>私募基金财产相关账户的开立和管理</w:t>
      </w:r>
    </w:p>
    <w:p w:rsidR="00375B1F" w:rsidRDefault="00BA1C44">
      <w:pPr>
        <w:spacing w:before="0" w:after="0"/>
        <w:ind w:firstLineChars="200" w:firstLine="640"/>
        <w:rPr>
          <w:rFonts w:ascii="仿宋_GB2312" w:eastAsia="仿宋_GB2312" w:hAnsi="仿宋"/>
          <w:sz w:val="32"/>
          <w:szCs w:val="32"/>
          <w:u w:val="single"/>
        </w:rPr>
      </w:pPr>
      <w:r>
        <w:rPr>
          <w:rFonts w:ascii="仿宋_GB2312" w:eastAsia="仿宋_GB2312" w:hAnsi="仿宋" w:hint="eastAsia"/>
          <w:sz w:val="32"/>
          <w:szCs w:val="32"/>
        </w:rPr>
        <w:t>私募基金管理人或私募基金托管人按照规定开立私募基金财产的托管资金账户、证券账户和期货账户等投资所需账户。证券账户和期货账户的持有人名称应当符合证券、期货登记结算机构的有关规定。开立的上述基金财产账户与私募基金管理人、私募基金托管人、私募基金募集机构和私募基金份额登记机构自有的财产账户以及其他基金财产账户相独立。</w:t>
      </w:r>
    </w:p>
    <w:p w:rsidR="00375B1F" w:rsidRDefault="00BA1C44">
      <w:pPr>
        <w:pStyle w:val="12"/>
        <w:numPr>
          <w:ilvl w:val="0"/>
          <w:numId w:val="20"/>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私募基金未托管的，应当在本节明确保障私募基金财产安全的制度措施和纠纷解决机制。</w:t>
      </w:r>
    </w:p>
    <w:p w:rsidR="00375B1F" w:rsidRDefault="00BA1C44">
      <w:pPr>
        <w:pStyle w:val="a"/>
        <w:spacing w:before="0" w:after="0"/>
        <w:rPr>
          <w:sz w:val="32"/>
        </w:rPr>
      </w:pPr>
      <w:bookmarkStart w:id="190" w:name="_Toc414354719"/>
      <w:bookmarkStart w:id="191" w:name="_Toc438051783"/>
      <w:bookmarkEnd w:id="190"/>
      <w:r>
        <w:rPr>
          <w:rFonts w:hint="eastAsia"/>
          <w:sz w:val="32"/>
        </w:rPr>
        <w:t>交易及清算交收安排</w:t>
      </w:r>
      <w:bookmarkEnd w:id="191"/>
    </w:p>
    <w:p w:rsidR="00375B1F" w:rsidRDefault="00402CEA">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参照中国证监会关于证券投资基金募集</w:t>
      </w:r>
      <w:r w:rsidR="00BA1C44">
        <w:rPr>
          <w:rFonts w:ascii="仿宋_GB2312" w:eastAsia="仿宋_GB2312" w:hAnsi="仿宋" w:hint="eastAsia"/>
          <w:sz w:val="32"/>
          <w:szCs w:val="32"/>
        </w:rPr>
        <w:t>结算资金管理相关规定，具体订明下列事项：</w:t>
      </w:r>
    </w:p>
    <w:p w:rsidR="00375B1F" w:rsidRDefault="00BA1C44">
      <w:pPr>
        <w:pStyle w:val="12"/>
        <w:numPr>
          <w:ilvl w:val="0"/>
          <w:numId w:val="22"/>
        </w:numPr>
        <w:spacing w:before="0" w:after="0"/>
        <w:ind w:firstLineChars="0"/>
        <w:rPr>
          <w:rFonts w:ascii="仿宋_GB2312" w:eastAsia="仿宋_GB2312" w:hAnsi="仿宋"/>
          <w:sz w:val="32"/>
          <w:szCs w:val="32"/>
        </w:rPr>
      </w:pPr>
      <w:r>
        <w:rPr>
          <w:rFonts w:ascii="仿宋_GB2312" w:eastAsia="仿宋_GB2312" w:hAnsi="仿宋" w:hint="eastAsia"/>
          <w:sz w:val="32"/>
          <w:szCs w:val="32"/>
        </w:rPr>
        <w:t>选择证券、期货经纪机构的程序（如需要）；</w:t>
      </w:r>
    </w:p>
    <w:p w:rsidR="00375B1F" w:rsidRDefault="00BA1C44">
      <w:pPr>
        <w:pStyle w:val="12"/>
        <w:numPr>
          <w:ilvl w:val="0"/>
          <w:numId w:val="22"/>
        </w:numPr>
        <w:spacing w:before="0" w:after="0"/>
        <w:ind w:firstLineChars="0"/>
        <w:rPr>
          <w:rFonts w:ascii="仿宋_GB2312" w:eastAsia="仿宋_GB2312" w:hAnsi="仿宋"/>
          <w:sz w:val="32"/>
          <w:szCs w:val="32"/>
        </w:rPr>
      </w:pPr>
      <w:r>
        <w:rPr>
          <w:rFonts w:ascii="仿宋_GB2312" w:eastAsia="仿宋_GB2312" w:hAnsi="仿宋" w:hint="eastAsia"/>
          <w:sz w:val="32"/>
          <w:szCs w:val="32"/>
        </w:rPr>
        <w:lastRenderedPageBreak/>
        <w:t>清算交收安排；</w:t>
      </w:r>
    </w:p>
    <w:p w:rsidR="00375B1F" w:rsidRDefault="00BA1C44">
      <w:pPr>
        <w:pStyle w:val="12"/>
        <w:numPr>
          <w:ilvl w:val="0"/>
          <w:numId w:val="22"/>
        </w:numPr>
        <w:spacing w:before="0" w:after="0"/>
        <w:ind w:firstLineChars="0"/>
        <w:rPr>
          <w:rFonts w:ascii="仿宋_GB2312" w:eastAsia="仿宋_GB2312" w:hAnsi="仿宋"/>
          <w:sz w:val="32"/>
          <w:szCs w:val="32"/>
        </w:rPr>
      </w:pPr>
      <w:r>
        <w:rPr>
          <w:rFonts w:ascii="仿宋_GB2312" w:eastAsia="仿宋_GB2312" w:hAnsi="仿宋" w:hint="eastAsia"/>
          <w:sz w:val="32"/>
          <w:szCs w:val="32"/>
        </w:rPr>
        <w:t>资金、证券账目及交易记录的核对；</w:t>
      </w:r>
    </w:p>
    <w:p w:rsidR="00375B1F" w:rsidRDefault="00BA1C44">
      <w:pPr>
        <w:pStyle w:val="12"/>
        <w:numPr>
          <w:ilvl w:val="0"/>
          <w:numId w:val="22"/>
        </w:numPr>
        <w:spacing w:before="0" w:after="0"/>
        <w:ind w:firstLineChars="0"/>
        <w:rPr>
          <w:rFonts w:ascii="仿宋_GB2312" w:eastAsia="仿宋_GB2312" w:hAnsi="仿宋"/>
          <w:sz w:val="32"/>
          <w:szCs w:val="32"/>
        </w:rPr>
      </w:pPr>
      <w:r>
        <w:rPr>
          <w:rFonts w:ascii="仿宋_GB2312" w:eastAsia="仿宋_GB2312" w:hAnsi="仿宋" w:hint="eastAsia"/>
          <w:sz w:val="32"/>
          <w:szCs w:val="32"/>
        </w:rPr>
        <w:t>申购或赎回的资金清算；</w:t>
      </w:r>
    </w:p>
    <w:p w:rsidR="00375B1F" w:rsidRDefault="00BA1C44">
      <w:pPr>
        <w:pStyle w:val="12"/>
        <w:numPr>
          <w:ilvl w:val="0"/>
          <w:numId w:val="22"/>
        </w:numPr>
        <w:spacing w:before="0" w:after="0"/>
        <w:ind w:firstLineChars="0"/>
        <w:rPr>
          <w:rFonts w:ascii="仿宋_GB2312" w:eastAsia="仿宋_GB2312" w:hAnsi="仿宋"/>
          <w:sz w:val="32"/>
          <w:szCs w:val="32"/>
        </w:rPr>
      </w:pPr>
      <w:r>
        <w:rPr>
          <w:rFonts w:ascii="仿宋_GB2312" w:eastAsia="仿宋_GB2312" w:hAnsi="仿宋" w:hint="eastAsia"/>
          <w:sz w:val="32"/>
          <w:szCs w:val="32"/>
        </w:rPr>
        <w:t>其他事项。</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私募基金由基金托管人托管的，应当具体订明</w:t>
      </w:r>
      <w:r>
        <w:rPr>
          <w:rFonts w:ascii="仿宋_GB2312" w:eastAsia="仿宋_GB2312" w:hAnsi="仿宋"/>
          <w:sz w:val="32"/>
          <w:szCs w:val="32"/>
        </w:rPr>
        <w:t>私募</w:t>
      </w:r>
      <w:r>
        <w:rPr>
          <w:rFonts w:ascii="仿宋_GB2312" w:eastAsia="仿宋_GB2312" w:hAnsi="仿宋" w:hint="eastAsia"/>
          <w:sz w:val="32"/>
          <w:szCs w:val="32"/>
        </w:rPr>
        <w:t>基金管理人在运用基金财产时向基金托管人发送资金划拨及其他款项收付的投资指令的事项：</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hint="eastAsia"/>
          <w:sz w:val="32"/>
          <w:szCs w:val="32"/>
        </w:rPr>
        <w:t>交易清算授权；</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hint="eastAsia"/>
          <w:sz w:val="32"/>
          <w:szCs w:val="32"/>
        </w:rPr>
        <w:t>投资指令的内容；</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hint="eastAsia"/>
          <w:sz w:val="32"/>
          <w:szCs w:val="32"/>
        </w:rPr>
        <w:t>投资指令的发送、确认及执行时间与程序；</w:t>
      </w:r>
    </w:p>
    <w:p w:rsidR="00375B1F" w:rsidRDefault="00BA1C44">
      <w:pPr>
        <w:pStyle w:val="12"/>
        <w:numPr>
          <w:ilvl w:val="0"/>
          <w:numId w:val="23"/>
        </w:numPr>
        <w:spacing w:before="0" w:after="0"/>
        <w:ind w:left="0" w:firstLineChars="0" w:firstLine="485"/>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基金托管人依法暂缓、拒绝执行指令的情形和处理程序；</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基金管理人发送错误指令的情形和处理程序；</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hint="eastAsia"/>
          <w:sz w:val="32"/>
          <w:szCs w:val="32"/>
        </w:rPr>
        <w:t>更换被授权人的程序；</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hint="eastAsia"/>
          <w:sz w:val="32"/>
          <w:szCs w:val="32"/>
        </w:rPr>
        <w:t>指令的保管；</w:t>
      </w:r>
    </w:p>
    <w:p w:rsidR="00375B1F" w:rsidRDefault="00BA1C44">
      <w:pPr>
        <w:pStyle w:val="12"/>
        <w:numPr>
          <w:ilvl w:val="0"/>
          <w:numId w:val="23"/>
        </w:numPr>
        <w:spacing w:before="0" w:after="0"/>
        <w:ind w:firstLineChars="0"/>
        <w:rPr>
          <w:rFonts w:ascii="仿宋_GB2312" w:eastAsia="仿宋_GB2312" w:hAnsi="仿宋"/>
          <w:sz w:val="32"/>
          <w:szCs w:val="32"/>
        </w:rPr>
      </w:pPr>
      <w:r>
        <w:rPr>
          <w:rFonts w:ascii="仿宋_GB2312" w:eastAsia="仿宋_GB2312" w:hAnsi="仿宋" w:hint="eastAsia"/>
          <w:sz w:val="32"/>
          <w:szCs w:val="32"/>
        </w:rPr>
        <w:t>相关的责任。</w:t>
      </w:r>
    </w:p>
    <w:p w:rsidR="00375B1F" w:rsidRDefault="00BA1C44">
      <w:pPr>
        <w:pStyle w:val="a"/>
        <w:spacing w:before="0" w:after="0"/>
        <w:rPr>
          <w:sz w:val="32"/>
        </w:rPr>
      </w:pPr>
      <w:bookmarkStart w:id="192" w:name="_Toc438051784"/>
      <w:r>
        <w:rPr>
          <w:rFonts w:hint="eastAsia"/>
          <w:sz w:val="32"/>
        </w:rPr>
        <w:t>私募基金财产的估值和会计核算</w:t>
      </w:r>
      <w:bookmarkEnd w:id="192"/>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根据国家有关规定订明私募基金财产估值的相关事项，包括但不限于：</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估值目的；</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估值时间；</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lastRenderedPageBreak/>
        <w:t>估值方法；</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估值对象；</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估值程序；</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估值错误的处理；</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暂停估值的情形；</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基金份额净值的确认；</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资金账册的建立；</w:t>
      </w:r>
    </w:p>
    <w:p w:rsidR="00375B1F" w:rsidRDefault="00BA1C44">
      <w:pPr>
        <w:pStyle w:val="12"/>
        <w:numPr>
          <w:ilvl w:val="0"/>
          <w:numId w:val="24"/>
        </w:numPr>
        <w:spacing w:before="0" w:after="0"/>
        <w:ind w:firstLineChars="0"/>
        <w:rPr>
          <w:rFonts w:ascii="仿宋_GB2312" w:eastAsia="仿宋_GB2312" w:hAnsi="仿宋"/>
          <w:sz w:val="32"/>
          <w:szCs w:val="32"/>
        </w:rPr>
      </w:pPr>
      <w:r>
        <w:rPr>
          <w:rFonts w:ascii="仿宋_GB2312" w:eastAsia="仿宋_GB2312" w:hAnsi="仿宋" w:hint="eastAsia"/>
          <w:sz w:val="32"/>
          <w:szCs w:val="32"/>
        </w:rPr>
        <w:t>特殊情况的处理。</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 xml:space="preserve">订明私募基金的会计政策参照证券投资基金现行政策或按照基金合同约定执行，并订明以下事项： </w:t>
      </w:r>
    </w:p>
    <w:p w:rsidR="00375B1F" w:rsidRDefault="00BA1C44">
      <w:pPr>
        <w:pStyle w:val="12"/>
        <w:numPr>
          <w:ilvl w:val="0"/>
          <w:numId w:val="25"/>
        </w:numPr>
        <w:spacing w:before="0" w:after="0"/>
        <w:ind w:firstLineChars="0"/>
        <w:rPr>
          <w:rFonts w:ascii="仿宋_GB2312" w:eastAsia="仿宋_GB2312" w:hAnsi="仿宋"/>
          <w:sz w:val="32"/>
          <w:szCs w:val="32"/>
        </w:rPr>
      </w:pPr>
      <w:r>
        <w:rPr>
          <w:rFonts w:ascii="仿宋_GB2312" w:eastAsia="仿宋_GB2312" w:hAnsi="仿宋" w:hint="eastAsia"/>
          <w:sz w:val="32"/>
          <w:szCs w:val="32"/>
        </w:rPr>
        <w:t>会计年度、记账本位币、会计核算制度等事项；</w:t>
      </w:r>
    </w:p>
    <w:p w:rsidR="00375B1F" w:rsidRDefault="00BA1C44">
      <w:pPr>
        <w:pStyle w:val="12"/>
        <w:numPr>
          <w:ilvl w:val="0"/>
          <w:numId w:val="25"/>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应独立建账、独立核算；私募基金管理人或其委托的外包服务机构应保留完整的会计账目、凭证并进行日常的会计核算，编制会计报表；私募基金托管人应定期与私募基金管理人就私募基金的会计核算、报表编制等进行核对。</w:t>
      </w:r>
    </w:p>
    <w:p w:rsidR="00375B1F" w:rsidRDefault="00BA1C44">
      <w:pPr>
        <w:pStyle w:val="a"/>
        <w:spacing w:before="0" w:after="0"/>
        <w:rPr>
          <w:sz w:val="32"/>
        </w:rPr>
      </w:pPr>
      <w:bookmarkStart w:id="193" w:name="_Toc438051785"/>
      <w:r>
        <w:rPr>
          <w:rFonts w:hint="eastAsia"/>
          <w:sz w:val="32"/>
        </w:rPr>
        <w:t>私募基金的费用与税收</w:t>
      </w:r>
      <w:bookmarkEnd w:id="193"/>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订明私募基金费用的有关事项：</w:t>
      </w:r>
    </w:p>
    <w:p w:rsidR="00375B1F" w:rsidRDefault="00BA1C44">
      <w:pPr>
        <w:pStyle w:val="12"/>
        <w:numPr>
          <w:ilvl w:val="0"/>
          <w:numId w:val="26"/>
        </w:numPr>
        <w:spacing w:before="0" w:after="0"/>
        <w:ind w:left="0" w:firstLineChars="0" w:firstLine="485"/>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私募基金财产运作过程中，从私募基金财产中支付的费用种类、费率、费率的调整、计提标准、计提方式与支付方式等；</w:t>
      </w:r>
    </w:p>
    <w:p w:rsidR="00375B1F" w:rsidRDefault="00BA1C44">
      <w:pPr>
        <w:pStyle w:val="12"/>
        <w:numPr>
          <w:ilvl w:val="0"/>
          <w:numId w:val="26"/>
        </w:numPr>
        <w:spacing w:before="0" w:after="0"/>
        <w:ind w:left="0" w:firstLineChars="0" w:firstLine="485"/>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可列入私募基金财产费用的项目，订明私募基金管</w:t>
      </w:r>
      <w:r>
        <w:rPr>
          <w:rFonts w:ascii="仿宋_GB2312" w:eastAsia="仿宋_GB2312" w:hAnsi="仿宋" w:hint="eastAsia"/>
          <w:sz w:val="32"/>
          <w:szCs w:val="32"/>
        </w:rPr>
        <w:lastRenderedPageBreak/>
        <w:t xml:space="preserve">理人和私募基金托管人因未履行或未完全履行义务导致的费用支出或私募基金财产的损失，以及处理与私募基金财产运作无关的事项发生的费用等不得列入私募基金的费用； </w:t>
      </w:r>
    </w:p>
    <w:p w:rsidR="00375B1F" w:rsidRDefault="00BA1C44">
      <w:pPr>
        <w:pStyle w:val="12"/>
        <w:numPr>
          <w:ilvl w:val="0"/>
          <w:numId w:val="26"/>
        </w:numPr>
        <w:spacing w:before="0" w:after="0"/>
        <w:ind w:left="0" w:firstLineChars="0" w:firstLine="485"/>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私募基金的管理费率和托管费率。私募基金管理人可以与私募基金投资者约定，根据私募基金的管理情况提取适当的业绩报酬；</w:t>
      </w:r>
    </w:p>
    <w:p w:rsidR="00375B1F" w:rsidRDefault="00BA1C44">
      <w:pPr>
        <w:pStyle w:val="12"/>
        <w:numPr>
          <w:ilvl w:val="0"/>
          <w:numId w:val="26"/>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明业绩</w:t>
      </w:r>
      <w:proofErr w:type="gramEnd"/>
      <w:r>
        <w:rPr>
          <w:rFonts w:ascii="仿宋_GB2312" w:eastAsia="仿宋_GB2312" w:hAnsi="仿宋" w:hint="eastAsia"/>
          <w:sz w:val="32"/>
          <w:szCs w:val="32"/>
        </w:rPr>
        <w:t>报酬（如有）的计提原则和计算方法；</w:t>
      </w:r>
    </w:p>
    <w:p w:rsidR="00375B1F" w:rsidRDefault="00BA1C44">
      <w:pPr>
        <w:pStyle w:val="12"/>
        <w:numPr>
          <w:ilvl w:val="0"/>
          <w:numId w:val="26"/>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私募基金管理人可以与投资者约定，为基金</w:t>
      </w:r>
      <w:r w:rsidR="00402CEA">
        <w:rPr>
          <w:rFonts w:ascii="仿宋_GB2312" w:eastAsia="仿宋_GB2312" w:hAnsi="仿宋" w:hint="eastAsia"/>
          <w:sz w:val="32"/>
          <w:szCs w:val="32"/>
        </w:rPr>
        <w:t>募集</w:t>
      </w:r>
      <w:r>
        <w:rPr>
          <w:rFonts w:ascii="仿宋_GB2312" w:eastAsia="仿宋_GB2312" w:hAnsi="仿宋" w:hint="eastAsia"/>
          <w:sz w:val="32"/>
          <w:szCs w:val="32"/>
        </w:rPr>
        <w:t>、运营、审计、法律顾问等提供服务的基金服务机构从基金中列支相应服务费；</w:t>
      </w:r>
    </w:p>
    <w:p w:rsidR="00375B1F" w:rsidRDefault="00BA1C44">
      <w:pPr>
        <w:pStyle w:val="12"/>
        <w:numPr>
          <w:ilvl w:val="0"/>
          <w:numId w:val="26"/>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其他费用的计提原则和计算方法。</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根据国家有关税收规定，订</w:t>
      </w:r>
      <w:proofErr w:type="gramStart"/>
      <w:r>
        <w:rPr>
          <w:rFonts w:ascii="仿宋_GB2312" w:eastAsia="仿宋_GB2312" w:hAnsi="仿宋" w:hint="eastAsia"/>
          <w:sz w:val="32"/>
          <w:szCs w:val="32"/>
        </w:rPr>
        <w:t>明基金</w:t>
      </w:r>
      <w:proofErr w:type="gramEnd"/>
      <w:r>
        <w:rPr>
          <w:rFonts w:ascii="仿宋_GB2312" w:eastAsia="仿宋_GB2312" w:hAnsi="仿宋" w:hint="eastAsia"/>
          <w:sz w:val="32"/>
          <w:szCs w:val="32"/>
        </w:rPr>
        <w:t>合同各方当事人缴税安排。</w:t>
      </w:r>
    </w:p>
    <w:p w:rsidR="00375B1F" w:rsidRDefault="00BA1C44">
      <w:pPr>
        <w:pStyle w:val="a"/>
        <w:spacing w:before="0" w:after="0"/>
        <w:rPr>
          <w:sz w:val="32"/>
        </w:rPr>
      </w:pPr>
      <w:bookmarkStart w:id="194" w:name="_Toc438051786"/>
      <w:r>
        <w:rPr>
          <w:rFonts w:hint="eastAsia"/>
          <w:sz w:val="32"/>
        </w:rPr>
        <w:t>私募基金的收益分配</w:t>
      </w:r>
      <w:bookmarkEnd w:id="194"/>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订明私募基金收益分配政策依据现行法律法规以及合同约定执行，并订</w:t>
      </w:r>
      <w:proofErr w:type="gramStart"/>
      <w:r>
        <w:rPr>
          <w:rFonts w:ascii="仿宋_GB2312" w:eastAsia="仿宋_GB2312" w:hAnsi="仿宋" w:hint="eastAsia"/>
          <w:sz w:val="32"/>
          <w:szCs w:val="32"/>
        </w:rPr>
        <w:t>明有关</w:t>
      </w:r>
      <w:proofErr w:type="gramEnd"/>
      <w:r>
        <w:rPr>
          <w:rFonts w:ascii="仿宋_GB2312" w:eastAsia="仿宋_GB2312" w:hAnsi="仿宋" w:hint="eastAsia"/>
          <w:sz w:val="32"/>
          <w:szCs w:val="32"/>
        </w:rPr>
        <w:t>事项：</w:t>
      </w:r>
    </w:p>
    <w:p w:rsidR="00375B1F" w:rsidRDefault="00BA1C44">
      <w:pPr>
        <w:pStyle w:val="12"/>
        <w:numPr>
          <w:ilvl w:val="0"/>
          <w:numId w:val="27"/>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收益分配原则，包括订</w:t>
      </w:r>
      <w:proofErr w:type="gramStart"/>
      <w:r>
        <w:rPr>
          <w:rFonts w:ascii="仿宋_GB2312" w:eastAsia="仿宋_GB2312" w:hAnsi="仿宋" w:hint="eastAsia"/>
          <w:sz w:val="32"/>
          <w:szCs w:val="32"/>
        </w:rPr>
        <w:t>明收益</w:t>
      </w:r>
      <w:proofErr w:type="gramEnd"/>
      <w:r>
        <w:rPr>
          <w:rFonts w:ascii="仿宋_GB2312" w:eastAsia="仿宋_GB2312" w:hAnsi="仿宋" w:hint="eastAsia"/>
          <w:sz w:val="32"/>
          <w:szCs w:val="32"/>
        </w:rPr>
        <w:t>分配的基准、次数、比例、时间等；</w:t>
      </w:r>
    </w:p>
    <w:p w:rsidR="00375B1F" w:rsidRDefault="00BA1C44">
      <w:pPr>
        <w:pStyle w:val="12"/>
        <w:numPr>
          <w:ilvl w:val="0"/>
          <w:numId w:val="27"/>
        </w:numPr>
        <w:spacing w:before="0" w:after="0"/>
        <w:ind w:firstLineChars="0"/>
        <w:rPr>
          <w:rFonts w:ascii="仿宋_GB2312" w:eastAsia="仿宋_GB2312" w:hAnsi="仿宋"/>
          <w:sz w:val="32"/>
          <w:szCs w:val="32"/>
        </w:rPr>
      </w:pPr>
      <w:r>
        <w:rPr>
          <w:rFonts w:ascii="仿宋_GB2312" w:eastAsia="仿宋_GB2312" w:hAnsi="仿宋" w:hint="eastAsia"/>
          <w:sz w:val="32"/>
          <w:szCs w:val="32"/>
        </w:rPr>
        <w:t>收益分配方案的确定与通知；</w:t>
      </w:r>
    </w:p>
    <w:p w:rsidR="00375B1F" w:rsidRDefault="00BA1C44">
      <w:pPr>
        <w:pStyle w:val="12"/>
        <w:numPr>
          <w:ilvl w:val="0"/>
          <w:numId w:val="27"/>
        </w:numPr>
        <w:spacing w:before="0" w:after="0"/>
        <w:ind w:firstLineChars="0"/>
        <w:rPr>
          <w:rFonts w:ascii="仿宋_GB2312" w:eastAsia="仿宋_GB2312" w:hAnsi="仿宋"/>
          <w:sz w:val="32"/>
          <w:szCs w:val="32"/>
        </w:rPr>
      </w:pPr>
      <w:r>
        <w:rPr>
          <w:rFonts w:ascii="仿宋_GB2312" w:eastAsia="仿宋_GB2312" w:hAnsi="仿宋" w:hint="eastAsia"/>
          <w:sz w:val="32"/>
          <w:szCs w:val="32"/>
        </w:rPr>
        <w:t>收益分配的执行方式。</w:t>
      </w:r>
    </w:p>
    <w:p w:rsidR="00375B1F" w:rsidRDefault="00BA1C44">
      <w:pPr>
        <w:pStyle w:val="a"/>
        <w:spacing w:before="0" w:after="0"/>
        <w:rPr>
          <w:sz w:val="32"/>
        </w:rPr>
      </w:pPr>
      <w:bookmarkStart w:id="195" w:name="_Toc438051787"/>
      <w:r>
        <w:rPr>
          <w:rFonts w:hint="eastAsia"/>
          <w:sz w:val="32"/>
        </w:rPr>
        <w:t>信息披露与报告</w:t>
      </w:r>
      <w:bookmarkEnd w:id="195"/>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lastRenderedPageBreak/>
        <w:t>订明私募基金管理人向投资者披露信息的种类、内容、频率和方式等有关事项。</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订明私募基金管理人、私募基金托管人应当如实向投资者披露以下事项：</w:t>
      </w:r>
    </w:p>
    <w:p w:rsidR="00375B1F" w:rsidRDefault="00BA1C44">
      <w:pPr>
        <w:pStyle w:val="12"/>
        <w:numPr>
          <w:ilvl w:val="0"/>
          <w:numId w:val="28"/>
        </w:numPr>
        <w:spacing w:before="0" w:after="0"/>
        <w:ind w:firstLineChars="0"/>
        <w:rPr>
          <w:rFonts w:ascii="仿宋_GB2312" w:eastAsia="仿宋_GB2312" w:hAnsi="仿宋"/>
          <w:sz w:val="32"/>
          <w:szCs w:val="32"/>
        </w:rPr>
      </w:pPr>
      <w:r>
        <w:rPr>
          <w:rFonts w:ascii="仿宋_GB2312" w:eastAsia="仿宋_GB2312" w:hAnsi="仿宋" w:hint="eastAsia"/>
          <w:sz w:val="32"/>
          <w:szCs w:val="32"/>
        </w:rPr>
        <w:t>基金投资情况；</w:t>
      </w:r>
    </w:p>
    <w:p w:rsidR="00375B1F" w:rsidRDefault="00BA1C44">
      <w:pPr>
        <w:pStyle w:val="12"/>
        <w:numPr>
          <w:ilvl w:val="0"/>
          <w:numId w:val="28"/>
        </w:numPr>
        <w:spacing w:before="0" w:after="0"/>
        <w:ind w:firstLineChars="0"/>
        <w:rPr>
          <w:rFonts w:ascii="仿宋_GB2312" w:eastAsia="仿宋_GB2312" w:hAnsi="仿宋"/>
          <w:sz w:val="32"/>
          <w:szCs w:val="32"/>
        </w:rPr>
      </w:pPr>
      <w:r>
        <w:rPr>
          <w:rFonts w:ascii="仿宋_GB2312" w:eastAsia="仿宋_GB2312" w:hAnsi="仿宋" w:hint="eastAsia"/>
          <w:sz w:val="32"/>
          <w:szCs w:val="32"/>
        </w:rPr>
        <w:t>资产负债情况；</w:t>
      </w:r>
    </w:p>
    <w:p w:rsidR="00375B1F" w:rsidRDefault="00BA1C44">
      <w:pPr>
        <w:pStyle w:val="12"/>
        <w:numPr>
          <w:ilvl w:val="0"/>
          <w:numId w:val="28"/>
        </w:numPr>
        <w:spacing w:before="0" w:after="0"/>
        <w:ind w:firstLineChars="0"/>
        <w:rPr>
          <w:rFonts w:ascii="仿宋_GB2312" w:eastAsia="仿宋_GB2312" w:hAnsi="仿宋"/>
          <w:sz w:val="32"/>
          <w:szCs w:val="32"/>
        </w:rPr>
      </w:pPr>
      <w:r>
        <w:rPr>
          <w:rFonts w:ascii="仿宋_GB2312" w:eastAsia="仿宋_GB2312" w:hAnsi="仿宋" w:hint="eastAsia"/>
          <w:sz w:val="32"/>
          <w:szCs w:val="32"/>
        </w:rPr>
        <w:t>投资收益分配；</w:t>
      </w:r>
    </w:p>
    <w:p w:rsidR="00375B1F" w:rsidRDefault="00BA1C44">
      <w:pPr>
        <w:pStyle w:val="12"/>
        <w:numPr>
          <w:ilvl w:val="0"/>
          <w:numId w:val="28"/>
        </w:numPr>
        <w:spacing w:before="0" w:after="0"/>
        <w:ind w:firstLineChars="0"/>
        <w:rPr>
          <w:rFonts w:ascii="仿宋_GB2312" w:eastAsia="仿宋_GB2312" w:hAnsi="仿宋"/>
          <w:sz w:val="32"/>
          <w:szCs w:val="32"/>
        </w:rPr>
      </w:pPr>
      <w:r>
        <w:rPr>
          <w:rFonts w:ascii="仿宋_GB2312" w:eastAsia="仿宋_GB2312" w:hAnsi="仿宋" w:hint="eastAsia"/>
          <w:sz w:val="32"/>
          <w:szCs w:val="32"/>
        </w:rPr>
        <w:t>基金承担的费用和业绩报酬（如有）；</w:t>
      </w:r>
    </w:p>
    <w:p w:rsidR="00375B1F" w:rsidRDefault="00BA1C44">
      <w:pPr>
        <w:pStyle w:val="12"/>
        <w:numPr>
          <w:ilvl w:val="0"/>
          <w:numId w:val="28"/>
        </w:numPr>
        <w:spacing w:before="0" w:after="0"/>
        <w:ind w:left="0" w:firstLineChars="0" w:firstLine="485"/>
        <w:rPr>
          <w:rFonts w:ascii="仿宋_GB2312" w:eastAsia="仿宋_GB2312" w:hAnsi="仿宋"/>
          <w:sz w:val="32"/>
          <w:szCs w:val="32"/>
        </w:rPr>
      </w:pPr>
      <w:r w:rsidRPr="002E4F7E">
        <w:rPr>
          <w:rFonts w:ascii="仿宋_GB2312" w:eastAsia="仿宋_GB2312" w:hAnsi="仿宋" w:hint="eastAsia"/>
          <w:sz w:val="32"/>
          <w:szCs w:val="32"/>
        </w:rPr>
        <w:t>可能存在的利益冲突</w:t>
      </w:r>
      <w:r w:rsidR="00D93052">
        <w:rPr>
          <w:rFonts w:ascii="仿宋_GB2312" w:eastAsia="仿宋_GB2312" w:hAnsi="仿宋" w:hint="eastAsia"/>
          <w:sz w:val="32"/>
          <w:szCs w:val="32"/>
        </w:rPr>
        <w:t>、关联交易</w:t>
      </w:r>
      <w:r w:rsidRPr="004F5763">
        <w:rPr>
          <w:rFonts w:ascii="仿宋_GB2312" w:eastAsia="仿宋_GB2312" w:hAnsi="仿宋" w:hint="eastAsia"/>
          <w:sz w:val="32"/>
          <w:szCs w:val="32"/>
        </w:rPr>
        <w:t>以</w:t>
      </w:r>
      <w:r>
        <w:rPr>
          <w:rFonts w:ascii="仿宋_GB2312" w:eastAsia="仿宋_GB2312" w:hAnsi="仿宋" w:hint="eastAsia"/>
          <w:sz w:val="32"/>
          <w:szCs w:val="32"/>
        </w:rPr>
        <w:t>及可能影响投资者合法权益的其他重大信息。</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订明私募基金管理人定期应向投资者报告经私募基金托管人复核的基金份额净值。</w:t>
      </w:r>
    </w:p>
    <w:p w:rsidR="00DA2990" w:rsidRDefault="0058340B">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明全体</w:t>
      </w:r>
      <w:proofErr w:type="gramEnd"/>
      <w:r>
        <w:rPr>
          <w:rFonts w:ascii="仿宋_GB2312" w:eastAsia="仿宋_GB2312" w:hAnsi="仿宋" w:hint="eastAsia"/>
          <w:sz w:val="32"/>
          <w:szCs w:val="32"/>
        </w:rPr>
        <w:t>份额持有人同意私募基金管理人或其他</w:t>
      </w:r>
      <w:r w:rsidR="00DA2990" w:rsidRPr="00AB37F0">
        <w:rPr>
          <w:rFonts w:ascii="仿宋_GB2312" w:eastAsia="仿宋_GB2312" w:hint="eastAsia"/>
          <w:sz w:val="32"/>
          <w:szCs w:val="32"/>
        </w:rPr>
        <w:t>信息披露义务人应当按照</w:t>
      </w:r>
      <w:r w:rsidR="00FF505D">
        <w:rPr>
          <w:rFonts w:ascii="仿宋_GB2312" w:eastAsia="仿宋_GB2312" w:hint="eastAsia"/>
          <w:sz w:val="32"/>
          <w:szCs w:val="32"/>
        </w:rPr>
        <w:t>中国基金业协会</w:t>
      </w:r>
      <w:r w:rsidR="00DA2990" w:rsidRPr="00AB37F0">
        <w:rPr>
          <w:rFonts w:ascii="仿宋_GB2312" w:eastAsia="仿宋_GB2312" w:hint="eastAsia"/>
          <w:sz w:val="32"/>
          <w:szCs w:val="32"/>
        </w:rPr>
        <w:t>的规定</w:t>
      </w:r>
      <w:r w:rsidR="00303228">
        <w:rPr>
          <w:rFonts w:ascii="仿宋_GB2312" w:eastAsia="仿宋_GB2312" w:hint="eastAsia"/>
          <w:sz w:val="32"/>
          <w:szCs w:val="32"/>
        </w:rPr>
        <w:t>对基金</w:t>
      </w:r>
      <w:r w:rsidR="002C2E9F">
        <w:rPr>
          <w:rFonts w:ascii="仿宋_GB2312" w:eastAsia="仿宋_GB2312" w:hint="eastAsia"/>
          <w:sz w:val="32"/>
          <w:szCs w:val="32"/>
        </w:rPr>
        <w:t>信息披露</w:t>
      </w:r>
      <w:r w:rsidR="00DA2990" w:rsidRPr="00AB37F0">
        <w:rPr>
          <w:rFonts w:ascii="仿宋_GB2312" w:eastAsia="仿宋_GB2312" w:hint="eastAsia"/>
          <w:sz w:val="32"/>
          <w:szCs w:val="32"/>
        </w:rPr>
        <w:t>信息</w:t>
      </w:r>
      <w:r w:rsidR="00303228">
        <w:rPr>
          <w:rFonts w:ascii="仿宋_GB2312" w:eastAsia="仿宋_GB2312" w:hint="eastAsia"/>
          <w:sz w:val="32"/>
          <w:szCs w:val="32"/>
        </w:rPr>
        <w:t>进行备份</w:t>
      </w:r>
      <w:r>
        <w:rPr>
          <w:rFonts w:ascii="仿宋_GB2312" w:eastAsia="仿宋_GB2312" w:hint="eastAsia"/>
          <w:sz w:val="32"/>
          <w:szCs w:val="32"/>
        </w:rPr>
        <w:t>。</w:t>
      </w:r>
    </w:p>
    <w:p w:rsidR="00375B1F" w:rsidRDefault="00BA1C44">
      <w:pPr>
        <w:pStyle w:val="a"/>
        <w:spacing w:before="0" w:after="0"/>
        <w:rPr>
          <w:sz w:val="32"/>
        </w:rPr>
      </w:pPr>
      <w:bookmarkStart w:id="196" w:name="_Toc438051788"/>
      <w:r>
        <w:rPr>
          <w:rFonts w:hint="eastAsia"/>
          <w:sz w:val="32"/>
        </w:rPr>
        <w:t>风险揭示</w:t>
      </w:r>
      <w:bookmarkEnd w:id="196"/>
    </w:p>
    <w:p w:rsidR="00375B1F" w:rsidRDefault="00BA1C44">
      <w:pPr>
        <w:pStyle w:val="12"/>
        <w:numPr>
          <w:ilvl w:val="0"/>
          <w:numId w:val="3"/>
        </w:numPr>
        <w:tabs>
          <w:tab w:val="left" w:pos="2410"/>
        </w:tabs>
        <w:spacing w:before="0" w:after="0"/>
        <w:ind w:left="0" w:firstLineChars="202" w:firstLine="646"/>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基金管理人应当</w:t>
      </w:r>
      <w:r w:rsidR="00D57340" w:rsidRPr="00204CCB">
        <w:rPr>
          <w:rFonts w:ascii="仿宋_GB2312" w:eastAsia="仿宋_GB2312" w:hAnsi="仿宋" w:hint="eastAsia"/>
          <w:sz w:val="32"/>
          <w:szCs w:val="32"/>
        </w:rPr>
        <w:t>单独</w:t>
      </w:r>
      <w:r w:rsidRPr="00204CCB">
        <w:rPr>
          <w:rFonts w:ascii="仿宋_GB2312" w:eastAsia="仿宋_GB2312" w:hAnsi="仿宋" w:hint="eastAsia"/>
          <w:sz w:val="32"/>
          <w:szCs w:val="32"/>
        </w:rPr>
        <w:t>编制风险揭示书</w:t>
      </w:r>
      <w:r w:rsidR="00D57340" w:rsidRPr="00204CCB">
        <w:rPr>
          <w:rFonts w:ascii="仿宋_GB2312" w:eastAsia="仿宋_GB2312" w:hAnsi="仿宋" w:hint="eastAsia"/>
          <w:sz w:val="32"/>
          <w:szCs w:val="32"/>
        </w:rPr>
        <w:t>作为合同附件</w:t>
      </w:r>
      <w:r>
        <w:rPr>
          <w:rFonts w:ascii="仿宋_GB2312" w:eastAsia="仿宋_GB2312" w:hAnsi="仿宋" w:hint="eastAsia"/>
          <w:sz w:val="32"/>
          <w:szCs w:val="32"/>
        </w:rPr>
        <w:t>。</w:t>
      </w:r>
      <w:r>
        <w:rPr>
          <w:rFonts w:ascii="仿宋_GB2312" w:eastAsia="仿宋_GB2312" w:hAnsi="仿宋" w:hint="eastAsia"/>
          <w:kern w:val="0"/>
          <w:sz w:val="32"/>
          <w:szCs w:val="32"/>
        </w:rPr>
        <w:t>私募基金投资者应</w:t>
      </w:r>
      <w:r>
        <w:rPr>
          <w:rFonts w:ascii="仿宋_GB2312" w:eastAsia="仿宋_GB2312" w:hAnsi="仿宋" w:hint="eastAsia"/>
          <w:sz w:val="32"/>
          <w:szCs w:val="32"/>
        </w:rPr>
        <w:t>充分了解并谨慎评估自身风险承受能力，并做出自愿承担风险的陈述和声明。</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基金管理人应当在基金合同中</w:t>
      </w:r>
      <w:r>
        <w:rPr>
          <w:rFonts w:ascii="仿宋" w:eastAsia="仿宋" w:hAnsi="仿宋" w:hint="eastAsia"/>
          <w:sz w:val="32"/>
          <w:szCs w:val="32"/>
        </w:rPr>
        <w:t>向投资者说明有关法律法规，须重点揭示</w:t>
      </w:r>
      <w:r>
        <w:rPr>
          <w:rFonts w:ascii="仿宋_GB2312" w:eastAsia="仿宋_GB2312" w:hAnsi="仿宋" w:hint="eastAsia"/>
          <w:kern w:val="0"/>
          <w:sz w:val="32"/>
          <w:szCs w:val="32"/>
        </w:rPr>
        <w:t>管理人在管理、运用或处分财产过</w:t>
      </w:r>
      <w:r>
        <w:rPr>
          <w:rFonts w:ascii="仿宋_GB2312" w:eastAsia="仿宋_GB2312" w:hAnsi="仿宋" w:hint="eastAsia"/>
          <w:kern w:val="0"/>
          <w:sz w:val="32"/>
          <w:szCs w:val="32"/>
        </w:rPr>
        <w:lastRenderedPageBreak/>
        <w:t>程中，</w:t>
      </w:r>
      <w:r>
        <w:rPr>
          <w:rFonts w:ascii="仿宋" w:eastAsia="仿宋" w:hAnsi="仿宋" w:hint="eastAsia"/>
          <w:sz w:val="32"/>
          <w:szCs w:val="32"/>
        </w:rPr>
        <w:t>私募基金</w:t>
      </w:r>
      <w:r>
        <w:rPr>
          <w:rFonts w:ascii="仿宋_GB2312" w:eastAsia="仿宋_GB2312" w:hAnsi="仿宋" w:hint="eastAsia"/>
          <w:kern w:val="0"/>
          <w:sz w:val="32"/>
          <w:szCs w:val="32"/>
        </w:rPr>
        <w:t>可能面临的风险，包括但不限于：</w:t>
      </w:r>
    </w:p>
    <w:p w:rsidR="00375B1F" w:rsidRDefault="00BA1C44">
      <w:pPr>
        <w:pStyle w:val="12"/>
        <w:spacing w:before="0" w:after="0"/>
        <w:ind w:firstLineChars="201" w:firstLine="643"/>
        <w:rPr>
          <w:rFonts w:ascii="仿宋_GB2312" w:eastAsia="仿宋_GB2312" w:hAnsi="仿宋"/>
          <w:kern w:val="0"/>
          <w:sz w:val="32"/>
          <w:szCs w:val="32"/>
        </w:rPr>
      </w:pPr>
      <w:r>
        <w:rPr>
          <w:rFonts w:ascii="仿宋_GB2312" w:eastAsia="仿宋_GB2312" w:hAnsi="仿宋" w:hint="eastAsia"/>
          <w:kern w:val="0"/>
          <w:sz w:val="32"/>
          <w:szCs w:val="32"/>
        </w:rPr>
        <w:t>（一）私募基金面临的特殊风险，如基金未托管风险、</w:t>
      </w:r>
      <w:r>
        <w:rPr>
          <w:rFonts w:ascii="仿宋" w:eastAsia="仿宋" w:hAnsi="仿宋" w:hint="eastAsia"/>
          <w:kern w:val="0"/>
          <w:sz w:val="32"/>
          <w:szCs w:val="32"/>
        </w:rPr>
        <w:t>外包事项所涉风险以及</w:t>
      </w:r>
      <w:r>
        <w:rPr>
          <w:rFonts w:ascii="仿宋_GB2312" w:eastAsia="仿宋_GB2312" w:hAnsi="仿宋" w:hint="eastAsia"/>
          <w:kern w:val="0"/>
          <w:sz w:val="32"/>
          <w:szCs w:val="32"/>
        </w:rPr>
        <w:t>未在</w:t>
      </w:r>
      <w:r w:rsidR="00FF505D">
        <w:rPr>
          <w:rFonts w:ascii="仿宋_GB2312" w:eastAsia="仿宋_GB2312" w:hAnsi="仿宋" w:hint="eastAsia"/>
          <w:kern w:val="0"/>
          <w:sz w:val="32"/>
          <w:szCs w:val="32"/>
        </w:rPr>
        <w:t>中国基金业协会</w:t>
      </w:r>
      <w:r>
        <w:rPr>
          <w:rFonts w:ascii="仿宋_GB2312" w:eastAsia="仿宋_GB2312" w:hAnsi="仿宋" w:hint="eastAsia"/>
          <w:kern w:val="0"/>
          <w:sz w:val="32"/>
          <w:szCs w:val="32"/>
        </w:rPr>
        <w:t>备案的风险等；</w:t>
      </w:r>
    </w:p>
    <w:p w:rsidR="00375B1F" w:rsidRDefault="00BA1C44">
      <w:pPr>
        <w:pStyle w:val="12"/>
        <w:spacing w:before="0" w:after="0"/>
        <w:ind w:firstLineChars="201" w:firstLine="643"/>
        <w:rPr>
          <w:rFonts w:ascii="仿宋_GB2312" w:eastAsia="仿宋_GB2312" w:hAnsi="仿宋"/>
          <w:kern w:val="0"/>
          <w:sz w:val="32"/>
          <w:szCs w:val="32"/>
        </w:rPr>
      </w:pPr>
      <w:r>
        <w:rPr>
          <w:rFonts w:ascii="仿宋_GB2312" w:eastAsia="仿宋_GB2312" w:hAnsi="仿宋" w:hint="eastAsia"/>
          <w:kern w:val="0"/>
          <w:sz w:val="32"/>
          <w:szCs w:val="32"/>
        </w:rPr>
        <w:t>（二）私募基金面临的一般风险，如资金损失风险、基金运营风险、流动性风险、募集失败风险、投资标的风险及税收风险等。</w:t>
      </w:r>
    </w:p>
    <w:p w:rsidR="00375B1F" w:rsidRDefault="00BA1C44">
      <w:pPr>
        <w:pStyle w:val="a"/>
        <w:spacing w:before="0" w:after="0"/>
        <w:rPr>
          <w:sz w:val="32"/>
        </w:rPr>
      </w:pPr>
      <w:bookmarkStart w:id="197" w:name="_Toc436208208"/>
      <w:bookmarkStart w:id="198" w:name="_Toc436493500"/>
      <w:bookmarkStart w:id="199" w:name="_Toc436496811"/>
      <w:bookmarkStart w:id="200" w:name="_Toc436641402"/>
      <w:bookmarkStart w:id="201" w:name="_Toc436666055"/>
      <w:bookmarkStart w:id="202" w:name="_Toc436667388"/>
      <w:bookmarkStart w:id="203" w:name="_Toc436669201"/>
      <w:bookmarkStart w:id="204" w:name="_Toc436669963"/>
      <w:bookmarkStart w:id="205" w:name="_Toc436672360"/>
      <w:bookmarkStart w:id="206" w:name="_Toc436752544"/>
      <w:bookmarkStart w:id="207" w:name="_Toc436817842"/>
      <w:bookmarkStart w:id="208" w:name="_Toc437344479"/>
      <w:bookmarkStart w:id="209" w:name="_Toc437348807"/>
      <w:bookmarkStart w:id="210" w:name="_Toc437525298"/>
      <w:bookmarkStart w:id="211" w:name="_Toc437529545"/>
      <w:bookmarkStart w:id="212" w:name="_Toc437531470"/>
      <w:bookmarkStart w:id="213" w:name="_Toc438051789"/>
      <w:bookmarkStart w:id="214" w:name="_Toc414354646"/>
      <w:bookmarkStart w:id="215" w:name="_Toc414354736"/>
      <w:bookmarkStart w:id="216" w:name="_Toc434341482"/>
      <w:bookmarkStart w:id="217" w:name="_Toc43805179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sz w:val="32"/>
        </w:rPr>
        <w:t>分级安排</w:t>
      </w:r>
      <w:bookmarkEnd w:id="216"/>
      <w:bookmarkEnd w:id="217"/>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私募基金根据风险收益特征进行分级的，应当在本节</w:t>
      </w:r>
      <w:r>
        <w:rPr>
          <w:rFonts w:ascii="仿宋_GB2312" w:eastAsia="仿宋_GB2312" w:hAnsi="仿宋"/>
          <w:sz w:val="32"/>
          <w:szCs w:val="32"/>
        </w:rPr>
        <w:t>订明</w:t>
      </w:r>
      <w:r>
        <w:rPr>
          <w:rFonts w:ascii="仿宋_GB2312" w:eastAsia="仿宋_GB2312" w:hAnsi="仿宋" w:hint="eastAsia"/>
          <w:sz w:val="32"/>
          <w:szCs w:val="32"/>
        </w:rPr>
        <w:t>分级安排、份额配比、杠杆比例、风险承担等内容。基金合同中应明确结构化产品的优先级不得进行保本保收益安排，不得</w:t>
      </w:r>
      <w:r w:rsidR="0064211E">
        <w:rPr>
          <w:rFonts w:ascii="仿宋_GB2312" w:eastAsia="仿宋_GB2312" w:hAnsi="仿宋" w:hint="eastAsia"/>
          <w:sz w:val="32"/>
          <w:szCs w:val="32"/>
        </w:rPr>
        <w:t>约定</w:t>
      </w:r>
      <w:r>
        <w:rPr>
          <w:rFonts w:ascii="仿宋_GB2312" w:eastAsia="仿宋_GB2312" w:hAnsi="仿宋" w:hint="eastAsia"/>
          <w:sz w:val="32"/>
          <w:szCs w:val="32"/>
        </w:rPr>
        <w:t>为保障某一类别份额持有人预期本金收益，</w:t>
      </w:r>
      <w:r w:rsidR="00012BAA">
        <w:rPr>
          <w:rFonts w:ascii="仿宋_GB2312" w:eastAsia="仿宋_GB2312" w:hAnsi="仿宋" w:hint="eastAsia"/>
          <w:sz w:val="32"/>
          <w:szCs w:val="32"/>
        </w:rPr>
        <w:t>而</w:t>
      </w:r>
      <w:r>
        <w:rPr>
          <w:rFonts w:ascii="仿宋_GB2312" w:eastAsia="仿宋_GB2312" w:hAnsi="仿宋" w:hint="eastAsia"/>
          <w:sz w:val="32"/>
          <w:szCs w:val="32"/>
        </w:rPr>
        <w:t>损害其他类别投资者合法权益的安排。</w:t>
      </w:r>
    </w:p>
    <w:p w:rsidR="00375B1F" w:rsidRPr="002C2E9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私募基金根据风险收益特征进行</w:t>
      </w:r>
      <w:r w:rsidR="00F118DF">
        <w:rPr>
          <w:rFonts w:ascii="仿宋_GB2312" w:eastAsia="仿宋_GB2312" w:hAnsi="仿宋" w:hint="eastAsia"/>
          <w:sz w:val="32"/>
          <w:szCs w:val="32"/>
        </w:rPr>
        <w:t>分级的，应当</w:t>
      </w:r>
      <w:r>
        <w:rPr>
          <w:rFonts w:ascii="仿宋_GB2312" w:eastAsia="仿宋_GB2312" w:hAnsi="仿宋" w:hint="eastAsia"/>
          <w:sz w:val="32"/>
          <w:szCs w:val="32"/>
        </w:rPr>
        <w:t>按照风险与收益相匹配的原则进行分级。基金合同中应明确分级基金的风险与收益相匹配的内容。</w:t>
      </w:r>
      <w:r>
        <w:rPr>
          <w:rFonts w:ascii="仿宋_GB2312" w:eastAsia="仿宋_GB2312" w:hAnsi="楷体"/>
          <w:sz w:val="32"/>
          <w:szCs w:val="32"/>
        </w:rPr>
        <w:t xml:space="preserve">  </w:t>
      </w:r>
    </w:p>
    <w:p w:rsidR="002C2E9F" w:rsidRDefault="002C2E9F">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楷体" w:hint="eastAsia"/>
          <w:sz w:val="32"/>
          <w:szCs w:val="32"/>
        </w:rPr>
        <w:t>私募基金管理人</w:t>
      </w:r>
      <w:r w:rsidR="00D061A7">
        <w:rPr>
          <w:rFonts w:ascii="仿宋_GB2312" w:eastAsia="仿宋_GB2312" w:hAnsi="楷体" w:hint="eastAsia"/>
          <w:sz w:val="32"/>
          <w:szCs w:val="32"/>
        </w:rPr>
        <w:t>及</w:t>
      </w:r>
      <w:r w:rsidR="007735FE">
        <w:rPr>
          <w:rFonts w:ascii="仿宋_GB2312" w:eastAsia="仿宋_GB2312" w:hAnsi="楷体" w:hint="eastAsia"/>
          <w:sz w:val="32"/>
          <w:szCs w:val="32"/>
        </w:rPr>
        <w:t>其从业人员、</w:t>
      </w:r>
      <w:r>
        <w:rPr>
          <w:rFonts w:ascii="仿宋_GB2312" w:eastAsia="仿宋_GB2312" w:hAnsi="楷体" w:hint="eastAsia"/>
          <w:sz w:val="32"/>
          <w:szCs w:val="32"/>
        </w:rPr>
        <w:t>关联方不得</w:t>
      </w:r>
      <w:r w:rsidR="00012BAA">
        <w:rPr>
          <w:rFonts w:ascii="仿宋_GB2312" w:eastAsia="仿宋_GB2312" w:hAnsi="楷体" w:hint="eastAsia"/>
          <w:sz w:val="32"/>
          <w:szCs w:val="32"/>
        </w:rPr>
        <w:t>通过</w:t>
      </w:r>
      <w:r w:rsidR="00D061A7">
        <w:rPr>
          <w:rFonts w:ascii="仿宋_GB2312" w:eastAsia="仿宋_GB2312" w:hAnsi="楷体" w:hint="eastAsia"/>
          <w:sz w:val="32"/>
          <w:szCs w:val="32"/>
        </w:rPr>
        <w:t>分级安排</w:t>
      </w:r>
      <w:r w:rsidR="00012BAA">
        <w:rPr>
          <w:rFonts w:ascii="仿宋_GB2312" w:eastAsia="仿宋_GB2312" w:hAnsi="楷体" w:hint="eastAsia"/>
          <w:sz w:val="32"/>
          <w:szCs w:val="32"/>
        </w:rPr>
        <w:t>损害投资者利益</w:t>
      </w:r>
      <w:r>
        <w:rPr>
          <w:rFonts w:ascii="仿宋_GB2312" w:eastAsia="仿宋_GB2312" w:hAnsi="楷体" w:hint="eastAsia"/>
          <w:sz w:val="32"/>
          <w:szCs w:val="32"/>
        </w:rPr>
        <w:t>。</w:t>
      </w:r>
    </w:p>
    <w:p w:rsidR="00375B1F" w:rsidRDefault="00BA1C44">
      <w:pPr>
        <w:pStyle w:val="a"/>
        <w:spacing w:before="0" w:after="0"/>
        <w:rPr>
          <w:sz w:val="32"/>
        </w:rPr>
      </w:pPr>
      <w:bookmarkStart w:id="218" w:name="_Toc361238486"/>
      <w:bookmarkStart w:id="219" w:name="_Toc361149962"/>
      <w:bookmarkStart w:id="220" w:name="_Toc361242348"/>
      <w:bookmarkStart w:id="221" w:name="_Toc361151123"/>
      <w:bookmarkStart w:id="222" w:name="_Toc233447952"/>
      <w:bookmarkStart w:id="223" w:name="_Toc361138264"/>
      <w:bookmarkStart w:id="224" w:name="_Toc363744668"/>
      <w:bookmarkStart w:id="225" w:name="_Toc363743512"/>
      <w:bookmarkStart w:id="226" w:name="_Toc363744196"/>
      <w:bookmarkStart w:id="227" w:name="_Toc361299647"/>
      <w:bookmarkStart w:id="228" w:name="_Toc363646171"/>
      <w:bookmarkStart w:id="229" w:name="_Toc438051791"/>
      <w:r>
        <w:rPr>
          <w:rFonts w:hint="eastAsia"/>
          <w:sz w:val="32"/>
        </w:rPr>
        <w:t>私募基金合同的期限、变更与终止</w:t>
      </w:r>
      <w:bookmarkEnd w:id="218"/>
      <w:bookmarkEnd w:id="219"/>
      <w:bookmarkEnd w:id="220"/>
      <w:bookmarkEnd w:id="221"/>
      <w:bookmarkEnd w:id="222"/>
      <w:bookmarkEnd w:id="223"/>
      <w:bookmarkEnd w:id="224"/>
      <w:bookmarkEnd w:id="225"/>
      <w:bookmarkEnd w:id="226"/>
      <w:bookmarkEnd w:id="227"/>
      <w:bookmarkEnd w:id="228"/>
      <w:bookmarkEnd w:id="229"/>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私募基金合同成立、生效的条件。说明基金合同是约定当事人之间权利义务关系的法律文件。基金合同自私</w:t>
      </w:r>
      <w:proofErr w:type="gramStart"/>
      <w:r>
        <w:rPr>
          <w:rFonts w:ascii="仿宋_GB2312" w:eastAsia="仿宋_GB2312" w:hAnsi="仿宋" w:hint="eastAsia"/>
          <w:sz w:val="32"/>
          <w:szCs w:val="32"/>
        </w:rPr>
        <w:t>募</w:t>
      </w:r>
      <w:proofErr w:type="gramEnd"/>
      <w:r>
        <w:rPr>
          <w:rFonts w:ascii="仿宋_GB2312" w:eastAsia="仿宋_GB2312" w:hAnsi="仿宋" w:hint="eastAsia"/>
          <w:sz w:val="32"/>
          <w:szCs w:val="32"/>
        </w:rPr>
        <w:t>基金管理人、私募基金托管人、投资者签署之日起成立并生</w:t>
      </w:r>
      <w:r>
        <w:rPr>
          <w:rFonts w:ascii="仿宋_GB2312" w:eastAsia="仿宋_GB2312" w:hAnsi="仿宋" w:hint="eastAsia"/>
          <w:sz w:val="32"/>
          <w:szCs w:val="32"/>
        </w:rPr>
        <w:lastRenderedPageBreak/>
        <w:t>效，附生效条件的合同自条件成就时起生效。</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说明私募基金合同自生效之日起对私募基金管理人、私募基金托管人、投资者具有同等的法律约束力。</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说明私募基金合同的有效期限。私募基金合同的有效期限可为不定期或合同当事人约定的其他期限。</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说明私募基金合同变更的条件、程序等。</w:t>
      </w:r>
    </w:p>
    <w:p w:rsidR="008624B2" w:rsidRDefault="00BA1C44" w:rsidP="00AB2CAE">
      <w:pPr>
        <w:pStyle w:val="12"/>
        <w:numPr>
          <w:ilvl w:val="0"/>
          <w:numId w:val="29"/>
        </w:numPr>
        <w:spacing w:before="0" w:after="0"/>
        <w:ind w:left="0" w:firstLineChars="0" w:firstLine="709"/>
        <w:rPr>
          <w:rFonts w:ascii="仿宋_GB2312" w:eastAsia="仿宋_GB2312" w:hAnsi="仿宋"/>
          <w:sz w:val="32"/>
          <w:szCs w:val="32"/>
        </w:rPr>
      </w:pPr>
      <w:r>
        <w:rPr>
          <w:rFonts w:ascii="仿宋_GB2312" w:eastAsia="仿宋_GB2312" w:hAnsi="仿宋" w:hint="eastAsia"/>
          <w:sz w:val="32"/>
          <w:szCs w:val="32"/>
        </w:rPr>
        <w:t>因法律法规或中国证监会</w:t>
      </w:r>
      <w:r w:rsidR="007735FE">
        <w:rPr>
          <w:rFonts w:ascii="仿宋_GB2312" w:eastAsia="仿宋_GB2312" w:hAnsi="仿宋" w:hint="eastAsia"/>
          <w:sz w:val="32"/>
          <w:szCs w:val="32"/>
        </w:rPr>
        <w:t>、</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的相关规定发生变化需要变更基金合同的，基金管理人可以与托管人协商后修改基金合同，并由基金管理人按照合同约定及时向投资者披露变更的具体内容。</w:t>
      </w:r>
    </w:p>
    <w:p w:rsidR="008624B2" w:rsidRPr="008624B2" w:rsidRDefault="008624B2" w:rsidP="00AB2CAE">
      <w:pPr>
        <w:pStyle w:val="12"/>
        <w:numPr>
          <w:ilvl w:val="0"/>
          <w:numId w:val="29"/>
        </w:numPr>
        <w:spacing w:before="0" w:after="0"/>
        <w:ind w:left="0" w:firstLineChars="0" w:firstLine="709"/>
        <w:rPr>
          <w:rFonts w:ascii="仿宋_GB2312" w:eastAsia="仿宋_GB2312" w:hAnsi="仿宋"/>
          <w:sz w:val="32"/>
          <w:szCs w:val="32"/>
        </w:rPr>
      </w:pPr>
      <w:r w:rsidRPr="008624B2">
        <w:rPr>
          <w:rFonts w:ascii="仿宋_GB2312" w:eastAsia="仿宋_GB2312" w:hAnsi="仿宋" w:hint="eastAsia"/>
          <w:sz w:val="32"/>
          <w:szCs w:val="32"/>
        </w:rPr>
        <w:t>非因法律法规及有关政策变化的原因需要变更基金合同重要内容</w:t>
      </w:r>
      <w:r w:rsidR="00BD5B16" w:rsidRPr="008624B2">
        <w:rPr>
          <w:rFonts w:ascii="仿宋_GB2312" w:eastAsia="仿宋_GB2312" w:hAnsi="仿宋" w:hint="eastAsia"/>
          <w:sz w:val="32"/>
          <w:szCs w:val="32"/>
        </w:rPr>
        <w:t>的</w:t>
      </w:r>
      <w:r w:rsidRPr="008624B2">
        <w:rPr>
          <w:rFonts w:ascii="仿宋_GB2312" w:eastAsia="仿宋_GB2312" w:hAnsi="仿宋" w:hint="eastAsia"/>
          <w:sz w:val="32"/>
          <w:szCs w:val="32"/>
        </w:rPr>
        <w:t>，可</w:t>
      </w:r>
      <w:r w:rsidR="00BD5B16">
        <w:rPr>
          <w:rFonts w:ascii="仿宋_GB2312" w:eastAsia="仿宋_GB2312" w:hAnsi="仿宋" w:hint="eastAsia"/>
          <w:sz w:val="32"/>
          <w:szCs w:val="32"/>
        </w:rPr>
        <w:t>由</w:t>
      </w:r>
      <w:r w:rsidRPr="008624B2">
        <w:rPr>
          <w:rFonts w:ascii="仿宋_GB2312" w:eastAsia="仿宋_GB2312" w:hAnsi="仿宋" w:hint="eastAsia"/>
          <w:sz w:val="32"/>
          <w:szCs w:val="32"/>
        </w:rPr>
        <w:t>全体投资者、私募基金管理人和私募基金托管人协商一致变更；或按照基金合同的约定召开基金份额持有人大会决议通过；</w:t>
      </w:r>
      <w:proofErr w:type="gramStart"/>
      <w:r w:rsidRPr="008624B2">
        <w:rPr>
          <w:rFonts w:ascii="仿宋_GB2312" w:eastAsia="仿宋_GB2312" w:hAnsi="仿宋" w:hint="eastAsia"/>
          <w:sz w:val="32"/>
          <w:szCs w:val="32"/>
        </w:rPr>
        <w:t>若基金</w:t>
      </w:r>
      <w:proofErr w:type="gramEnd"/>
      <w:r w:rsidRPr="008624B2">
        <w:rPr>
          <w:rFonts w:ascii="仿宋_GB2312" w:eastAsia="仿宋_GB2312" w:hAnsi="仿宋" w:hint="eastAsia"/>
          <w:sz w:val="32"/>
          <w:szCs w:val="32"/>
        </w:rPr>
        <w:t>合同未约定基金份额持有人大会的召开程序和表决条件，则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rsidR="00375B1F" w:rsidRDefault="00BA1C44">
      <w:pPr>
        <w:pStyle w:val="12"/>
        <w:numPr>
          <w:ilvl w:val="0"/>
          <w:numId w:val="29"/>
        </w:numPr>
        <w:spacing w:before="0" w:after="0"/>
        <w:ind w:left="0" w:firstLineChars="0" w:firstLine="709"/>
        <w:rPr>
          <w:rFonts w:ascii="仿宋_GB2312" w:eastAsia="仿宋_GB2312" w:hAnsi="仿宋"/>
          <w:sz w:val="32"/>
          <w:szCs w:val="32"/>
        </w:rPr>
      </w:pPr>
      <w:r>
        <w:rPr>
          <w:rFonts w:ascii="仿宋_GB2312" w:eastAsia="仿宋_GB2312" w:hAnsi="仿宋" w:hint="eastAsia"/>
          <w:sz w:val="32"/>
          <w:szCs w:val="32"/>
        </w:rPr>
        <w:t>订明私募基金合同重大事项发生变更的，私募基金管理人应按照</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要求及时向</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报告。</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lastRenderedPageBreak/>
        <w:t>订明私募基金合同终止的情形，包括</w:t>
      </w:r>
      <w:r w:rsidR="002C2E9F">
        <w:rPr>
          <w:rFonts w:ascii="仿宋_GB2312" w:eastAsia="仿宋_GB2312" w:hAnsi="仿宋" w:hint="eastAsia"/>
          <w:sz w:val="32"/>
          <w:szCs w:val="32"/>
        </w:rPr>
        <w:t>但不限于</w:t>
      </w:r>
      <w:r>
        <w:rPr>
          <w:rFonts w:ascii="仿宋_GB2312" w:eastAsia="仿宋_GB2312" w:hAnsi="仿宋" w:hint="eastAsia"/>
          <w:sz w:val="32"/>
          <w:szCs w:val="32"/>
        </w:rPr>
        <w:t>下列事项：</w:t>
      </w:r>
    </w:p>
    <w:p w:rsidR="00375B1F" w:rsidRDefault="00BA1C44">
      <w:pPr>
        <w:pStyle w:val="12"/>
        <w:numPr>
          <w:ilvl w:val="0"/>
          <w:numId w:val="30"/>
        </w:numPr>
        <w:spacing w:before="0" w:after="0"/>
        <w:ind w:left="0" w:firstLineChars="0" w:firstLine="709"/>
        <w:rPr>
          <w:rFonts w:ascii="仿宋_GB2312" w:eastAsia="仿宋_GB2312" w:hAnsi="仿宋"/>
          <w:sz w:val="32"/>
          <w:szCs w:val="32"/>
        </w:rPr>
      </w:pPr>
      <w:r>
        <w:rPr>
          <w:rFonts w:ascii="仿宋_GB2312" w:eastAsia="仿宋_GB2312" w:hAnsi="仿宋" w:hint="eastAsia"/>
          <w:sz w:val="32"/>
          <w:szCs w:val="32"/>
        </w:rPr>
        <w:t>私募基金合同期限届满而未延期；</w:t>
      </w:r>
    </w:p>
    <w:p w:rsidR="00375B1F" w:rsidRDefault="00BA1C44">
      <w:pPr>
        <w:pStyle w:val="12"/>
        <w:numPr>
          <w:ilvl w:val="0"/>
          <w:numId w:val="30"/>
        </w:numPr>
        <w:spacing w:before="0" w:after="0"/>
        <w:ind w:left="0" w:firstLineChars="0" w:firstLine="709"/>
        <w:rPr>
          <w:rFonts w:ascii="仿宋_GB2312" w:eastAsia="仿宋_GB2312" w:hAnsi="仿宋"/>
          <w:sz w:val="32"/>
          <w:szCs w:val="32"/>
        </w:rPr>
      </w:pPr>
      <w:r>
        <w:rPr>
          <w:rFonts w:ascii="仿宋_GB2312" w:eastAsia="仿宋_GB2312" w:hAnsi="仿宋"/>
          <w:sz w:val="32"/>
          <w:szCs w:val="32"/>
        </w:rPr>
        <w:t>基金份额持有人大会决定终止</w:t>
      </w:r>
      <w:r>
        <w:rPr>
          <w:rFonts w:ascii="仿宋_GB2312" w:eastAsia="仿宋_GB2312" w:hAnsi="仿宋" w:hint="eastAsia"/>
          <w:sz w:val="32"/>
          <w:szCs w:val="32"/>
        </w:rPr>
        <w:t>；</w:t>
      </w:r>
    </w:p>
    <w:p w:rsidR="00375B1F" w:rsidRDefault="00BA1C44">
      <w:pPr>
        <w:pStyle w:val="12"/>
        <w:numPr>
          <w:ilvl w:val="0"/>
          <w:numId w:val="30"/>
        </w:numPr>
        <w:spacing w:before="0" w:after="0"/>
        <w:ind w:left="0" w:firstLineChars="0" w:firstLine="709"/>
        <w:rPr>
          <w:rFonts w:ascii="仿宋_GB2312" w:eastAsia="仿宋_GB2312" w:hAnsi="仿宋"/>
          <w:sz w:val="32"/>
          <w:szCs w:val="32"/>
        </w:rPr>
      </w:pPr>
      <w:r>
        <w:rPr>
          <w:rFonts w:ascii="仿宋_GB2312" w:eastAsia="仿宋_GB2312" w:hAnsi="仿宋"/>
          <w:sz w:val="32"/>
          <w:szCs w:val="32"/>
        </w:rPr>
        <w:t>基金管理人、基金托管人职责终止,在六个月内没有新基金管理人、新基金托管人承接;</w:t>
      </w:r>
    </w:p>
    <w:p w:rsidR="00375B1F" w:rsidRDefault="00BA1C44">
      <w:pPr>
        <w:pStyle w:val="12"/>
        <w:numPr>
          <w:ilvl w:val="0"/>
          <w:numId w:val="30"/>
        </w:numPr>
        <w:spacing w:before="0" w:after="0"/>
        <w:ind w:left="0" w:firstLineChars="0" w:firstLine="709"/>
        <w:rPr>
          <w:rFonts w:ascii="仿宋_GB2312" w:eastAsia="仿宋_GB2312" w:hAnsi="仿宋"/>
          <w:sz w:val="32"/>
          <w:szCs w:val="32"/>
        </w:rPr>
      </w:pPr>
      <w:r>
        <w:rPr>
          <w:rFonts w:ascii="仿宋_GB2312" w:eastAsia="仿宋_GB2312" w:hAnsi="仿宋" w:hint="eastAsia"/>
          <w:sz w:val="32"/>
          <w:szCs w:val="32"/>
        </w:rPr>
        <w:t>私募基金合同约定的其他情形。</w:t>
      </w:r>
    </w:p>
    <w:p w:rsidR="00375B1F" w:rsidRDefault="00BA1C44">
      <w:pPr>
        <w:pStyle w:val="a"/>
        <w:spacing w:before="0" w:after="0"/>
        <w:rPr>
          <w:sz w:val="32"/>
        </w:rPr>
      </w:pPr>
      <w:bookmarkStart w:id="230" w:name="_Toc438051792"/>
      <w:r>
        <w:rPr>
          <w:rFonts w:hint="eastAsia"/>
          <w:sz w:val="32"/>
        </w:rPr>
        <w:t>私募基金的清算</w:t>
      </w:r>
      <w:bookmarkEnd w:id="230"/>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订明私募基金财产清算的有关事项：</w:t>
      </w:r>
    </w:p>
    <w:p w:rsidR="00375B1F" w:rsidRDefault="00BA1C44">
      <w:pPr>
        <w:pStyle w:val="12"/>
        <w:numPr>
          <w:ilvl w:val="0"/>
          <w:numId w:val="31"/>
        </w:numPr>
        <w:spacing w:before="0" w:after="0"/>
        <w:ind w:firstLineChars="0"/>
        <w:rPr>
          <w:rFonts w:ascii="仿宋_GB2312" w:eastAsia="仿宋_GB2312" w:hAnsi="仿宋"/>
          <w:sz w:val="32"/>
          <w:szCs w:val="32"/>
        </w:rPr>
      </w:pPr>
      <w:r>
        <w:rPr>
          <w:rFonts w:ascii="仿宋_GB2312" w:eastAsia="仿宋_GB2312" w:hAnsi="仿宋" w:hint="eastAsia"/>
          <w:sz w:val="32"/>
          <w:szCs w:val="32"/>
        </w:rPr>
        <w:t>私募基金财产清算小组。</w:t>
      </w:r>
    </w:p>
    <w:p w:rsidR="00375B1F" w:rsidRDefault="00BA1C44">
      <w:pPr>
        <w:spacing w:before="0" w:after="0"/>
        <w:ind w:firstLineChars="177" w:firstLine="566"/>
        <w:rPr>
          <w:rFonts w:ascii="仿宋_GB2312" w:eastAsia="仿宋_GB2312" w:hAnsi="仿宋"/>
          <w:sz w:val="32"/>
          <w:szCs w:val="32"/>
        </w:rPr>
      </w:pPr>
      <w:r>
        <w:rPr>
          <w:rFonts w:ascii="仿宋_GB2312" w:eastAsia="仿宋_GB2312" w:hAnsi="仿宋" w:hint="eastAsia"/>
          <w:sz w:val="32"/>
          <w:szCs w:val="32"/>
        </w:rPr>
        <w:t>1．私募基金财产清算小组组成，说明私募基金财产清算小组成员由私募基金管理人和私募基金托管人组成。清算小组可以聘用必要的工作人员；</w:t>
      </w:r>
    </w:p>
    <w:p w:rsidR="00375B1F" w:rsidRDefault="00BA1C44">
      <w:pPr>
        <w:spacing w:before="0" w:after="0"/>
        <w:ind w:firstLineChars="177" w:firstLine="566"/>
        <w:rPr>
          <w:rFonts w:ascii="仿宋_GB2312" w:eastAsia="仿宋_GB2312" w:hAnsi="仿宋"/>
          <w:sz w:val="32"/>
          <w:szCs w:val="32"/>
        </w:rPr>
      </w:pPr>
      <w:r>
        <w:rPr>
          <w:rFonts w:ascii="仿宋_GB2312" w:eastAsia="仿宋_GB2312" w:hAnsi="仿宋" w:hint="eastAsia"/>
          <w:sz w:val="32"/>
          <w:szCs w:val="32"/>
        </w:rPr>
        <w:t>2．私募基金财产清算小组职责，说明私募基金财产清算小组负责私募基金财产的保管、清理、估价、变现和分配。私募基金财产清算小组可以依法进行必要的民事活动。</w:t>
      </w:r>
    </w:p>
    <w:p w:rsidR="00375B1F" w:rsidRDefault="00BA1C44">
      <w:pPr>
        <w:pStyle w:val="12"/>
        <w:numPr>
          <w:ilvl w:val="0"/>
          <w:numId w:val="31"/>
        </w:numPr>
        <w:spacing w:before="0" w:after="0"/>
        <w:ind w:firstLineChars="0"/>
        <w:rPr>
          <w:rFonts w:ascii="仿宋_GB2312" w:eastAsia="仿宋_GB2312" w:hAnsi="仿宋"/>
          <w:sz w:val="32"/>
          <w:szCs w:val="32"/>
        </w:rPr>
      </w:pPr>
      <w:r>
        <w:rPr>
          <w:rFonts w:ascii="仿宋_GB2312" w:eastAsia="仿宋_GB2312" w:hAnsi="仿宋" w:hint="eastAsia"/>
          <w:sz w:val="32"/>
          <w:szCs w:val="32"/>
        </w:rPr>
        <w:t>订明私募基金财产清算的程序。</w:t>
      </w:r>
    </w:p>
    <w:p w:rsidR="00375B1F" w:rsidRDefault="00BA1C44">
      <w:pPr>
        <w:pStyle w:val="12"/>
        <w:numPr>
          <w:ilvl w:val="0"/>
          <w:numId w:val="31"/>
        </w:numPr>
        <w:spacing w:before="0" w:after="0"/>
        <w:ind w:firstLineChars="0"/>
        <w:rPr>
          <w:rFonts w:ascii="仿宋_GB2312" w:eastAsia="仿宋_GB2312" w:hAnsi="仿宋"/>
          <w:sz w:val="32"/>
          <w:szCs w:val="32"/>
        </w:rPr>
      </w:pPr>
      <w:r>
        <w:rPr>
          <w:rFonts w:ascii="仿宋_GB2312" w:eastAsia="仿宋_GB2312" w:hAnsi="仿宋" w:hint="eastAsia"/>
          <w:sz w:val="32"/>
          <w:szCs w:val="32"/>
        </w:rPr>
        <w:t>订明清算费用的来源和支付方式。</w:t>
      </w:r>
    </w:p>
    <w:p w:rsidR="00375B1F" w:rsidRDefault="00BA1C44">
      <w:pPr>
        <w:pStyle w:val="12"/>
        <w:numPr>
          <w:ilvl w:val="0"/>
          <w:numId w:val="3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订明私募基金财产清算剩余资产的分配，依据私募基金财产清算的分配方案，将私募基金财产清算后的全部剩余资产扣除私募基金财产清算费用后，按私募基金的份额持有人持有的计</w:t>
      </w:r>
      <w:r>
        <w:rPr>
          <w:rFonts w:ascii="仿宋_GB2312" w:eastAsia="仿宋_GB2312" w:hAnsi="仿宋" w:hint="eastAsia"/>
          <w:sz w:val="32"/>
          <w:szCs w:val="32"/>
        </w:rPr>
        <w:lastRenderedPageBreak/>
        <w:t>划份额比例进行分配；私募基金合同另有约定的除外。</w:t>
      </w:r>
    </w:p>
    <w:p w:rsidR="00375B1F" w:rsidRDefault="00BA1C44">
      <w:pPr>
        <w:pStyle w:val="12"/>
        <w:numPr>
          <w:ilvl w:val="0"/>
          <w:numId w:val="3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订明私募基金财产清算报告的告知安排。</w:t>
      </w:r>
    </w:p>
    <w:p w:rsidR="00375B1F" w:rsidRDefault="00BA1C44">
      <w:pPr>
        <w:pStyle w:val="12"/>
        <w:numPr>
          <w:ilvl w:val="0"/>
          <w:numId w:val="31"/>
        </w:numPr>
        <w:spacing w:before="0" w:after="0"/>
        <w:ind w:left="0" w:firstLineChars="0" w:firstLine="485"/>
        <w:rPr>
          <w:rFonts w:ascii="仿宋_GB2312" w:eastAsia="仿宋_GB2312" w:hAnsi="仿宋"/>
          <w:sz w:val="32"/>
          <w:szCs w:val="32"/>
        </w:rPr>
      </w:pPr>
      <w:r>
        <w:rPr>
          <w:rFonts w:ascii="仿宋_GB2312" w:eastAsia="仿宋_GB2312" w:hAnsi="仿宋" w:hint="eastAsia"/>
          <w:sz w:val="32"/>
          <w:szCs w:val="32"/>
        </w:rPr>
        <w:t>私募基金财产清算账册及文件的保存，说明私募基金财产清算账册及文件由私募基金管理人保存10年以上。</w:t>
      </w:r>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私募基金财产相关账户的注销。</w:t>
      </w:r>
    </w:p>
    <w:p w:rsidR="00375B1F" w:rsidRDefault="00BA1C44">
      <w:pPr>
        <w:spacing w:before="0" w:after="0"/>
        <w:ind w:firstLineChars="177" w:firstLine="566"/>
        <w:rPr>
          <w:rFonts w:ascii="仿宋_GB2312" w:eastAsia="仿宋_GB2312" w:hAnsi="仿宋"/>
          <w:sz w:val="32"/>
          <w:szCs w:val="32"/>
        </w:rPr>
      </w:pPr>
      <w:r>
        <w:rPr>
          <w:rFonts w:ascii="仿宋_GB2312" w:eastAsia="仿宋_GB2312" w:hAnsi="仿宋" w:hint="eastAsia"/>
          <w:sz w:val="32"/>
          <w:szCs w:val="32"/>
        </w:rPr>
        <w:t>订明私募基金财产清算完毕后，当事人在私募基金财产相关账户注销中的职责及相应的办理程序。私募基金托管人按照规定注销私募基金财产账户、证券账户和期货账户等投资所需账户，私募基金管理人应给予必要的配合。</w:t>
      </w:r>
      <w:bookmarkStart w:id="231" w:name="_Toc233447953"/>
    </w:p>
    <w:p w:rsidR="00375B1F" w:rsidRDefault="00BA1C44">
      <w:pPr>
        <w:pStyle w:val="a"/>
        <w:spacing w:before="0" w:after="0"/>
        <w:rPr>
          <w:sz w:val="32"/>
        </w:rPr>
      </w:pPr>
      <w:bookmarkStart w:id="232" w:name="_Toc361151124"/>
      <w:bookmarkStart w:id="233" w:name="_Toc361138265"/>
      <w:bookmarkStart w:id="234" w:name="_Toc363744669"/>
      <w:bookmarkStart w:id="235" w:name="_Toc363646172"/>
      <w:bookmarkStart w:id="236" w:name="_Toc361242349"/>
      <w:bookmarkStart w:id="237" w:name="_Toc361238487"/>
      <w:bookmarkStart w:id="238" w:name="_Toc361299648"/>
      <w:bookmarkStart w:id="239" w:name="_Toc363743513"/>
      <w:bookmarkStart w:id="240" w:name="_Toc363744197"/>
      <w:bookmarkStart w:id="241" w:name="_Toc361149963"/>
      <w:r>
        <w:rPr>
          <w:rFonts w:hint="eastAsia"/>
          <w:sz w:val="32"/>
        </w:rPr>
        <w:t xml:space="preserve"> </w:t>
      </w:r>
      <w:bookmarkStart w:id="242" w:name="_Toc438051793"/>
      <w:r>
        <w:rPr>
          <w:rFonts w:hint="eastAsia"/>
          <w:sz w:val="32"/>
        </w:rPr>
        <w:t>违约责任</w:t>
      </w:r>
      <w:bookmarkEnd w:id="231"/>
      <w:bookmarkEnd w:id="232"/>
      <w:bookmarkEnd w:id="233"/>
      <w:bookmarkEnd w:id="234"/>
      <w:bookmarkEnd w:id="235"/>
      <w:bookmarkEnd w:id="236"/>
      <w:bookmarkEnd w:id="237"/>
      <w:bookmarkEnd w:id="238"/>
      <w:bookmarkEnd w:id="239"/>
      <w:bookmarkEnd w:id="240"/>
      <w:bookmarkEnd w:id="241"/>
      <w:bookmarkEnd w:id="242"/>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订明私募基金合同当事人违反合同应当承担的违约赔偿责任。合同能够继续履行的应当继续履行。</w:t>
      </w:r>
    </w:p>
    <w:p w:rsidR="00375B1F" w:rsidRDefault="00BA1C44">
      <w:pPr>
        <w:pStyle w:val="a"/>
        <w:spacing w:before="0" w:after="0"/>
        <w:rPr>
          <w:sz w:val="32"/>
        </w:rPr>
      </w:pPr>
      <w:bookmarkStart w:id="243" w:name="_Toc361151125"/>
      <w:bookmarkStart w:id="244" w:name="_Toc363743514"/>
      <w:bookmarkStart w:id="245" w:name="_Toc361138266"/>
      <w:bookmarkStart w:id="246" w:name="_Toc233447954"/>
      <w:bookmarkStart w:id="247" w:name="_Toc361242350"/>
      <w:bookmarkStart w:id="248" w:name="_Toc363744198"/>
      <w:bookmarkStart w:id="249" w:name="_Toc363646173"/>
      <w:bookmarkStart w:id="250" w:name="_Toc363744670"/>
      <w:bookmarkStart w:id="251" w:name="_Toc361149964"/>
      <w:bookmarkStart w:id="252" w:name="_Toc361238488"/>
      <w:bookmarkStart w:id="253" w:name="_Toc361299649"/>
      <w:r>
        <w:rPr>
          <w:rFonts w:hint="eastAsia"/>
          <w:sz w:val="32"/>
        </w:rPr>
        <w:t xml:space="preserve"> </w:t>
      </w:r>
      <w:bookmarkStart w:id="254" w:name="_Toc438051794"/>
      <w:r>
        <w:rPr>
          <w:rFonts w:hint="eastAsia"/>
          <w:sz w:val="32"/>
        </w:rPr>
        <w:t>争议的处理</w:t>
      </w:r>
      <w:bookmarkEnd w:id="243"/>
      <w:bookmarkEnd w:id="244"/>
      <w:bookmarkEnd w:id="245"/>
      <w:bookmarkEnd w:id="246"/>
      <w:bookmarkEnd w:id="247"/>
      <w:bookmarkEnd w:id="248"/>
      <w:bookmarkEnd w:id="249"/>
      <w:bookmarkEnd w:id="250"/>
      <w:bookmarkEnd w:id="251"/>
      <w:bookmarkEnd w:id="252"/>
      <w:bookmarkEnd w:id="253"/>
      <w:bookmarkEnd w:id="254"/>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明发生</w:t>
      </w:r>
      <w:proofErr w:type="gramEnd"/>
      <w:r>
        <w:rPr>
          <w:rFonts w:ascii="仿宋_GB2312" w:eastAsia="仿宋_GB2312" w:hAnsi="仿宋" w:hint="eastAsia"/>
          <w:sz w:val="32"/>
          <w:szCs w:val="32"/>
        </w:rPr>
        <w:t>纠纷时，当事人可以通过协商或者调解予以解决。当事人不愿通过协商、调解解决或者协商、调解不成的，可以根据合同的约定或者事后达成的书面仲裁条款向仲裁机构申请仲裁，或向人民法院起诉。</w:t>
      </w:r>
    </w:p>
    <w:p w:rsidR="00375B1F" w:rsidRDefault="00BA1C44">
      <w:pPr>
        <w:pStyle w:val="a"/>
        <w:spacing w:before="0" w:after="0"/>
        <w:rPr>
          <w:sz w:val="32"/>
        </w:rPr>
      </w:pPr>
      <w:bookmarkStart w:id="255" w:name="_Toc361151127"/>
      <w:bookmarkStart w:id="256" w:name="_Toc361138268"/>
      <w:bookmarkStart w:id="257" w:name="_Toc361299651"/>
      <w:bookmarkStart w:id="258" w:name="_Toc361242352"/>
      <w:bookmarkStart w:id="259" w:name="_Toc361149966"/>
      <w:bookmarkStart w:id="260" w:name="_Toc363744672"/>
      <w:bookmarkStart w:id="261" w:name="_Toc233447956"/>
      <w:bookmarkStart w:id="262" w:name="_Toc363646175"/>
      <w:bookmarkStart w:id="263" w:name="_Toc363744200"/>
      <w:bookmarkStart w:id="264" w:name="_Toc363743516"/>
      <w:bookmarkStart w:id="265" w:name="_Toc361238490"/>
      <w:r>
        <w:rPr>
          <w:rFonts w:hint="eastAsia"/>
          <w:sz w:val="32"/>
        </w:rPr>
        <w:t xml:space="preserve"> </w:t>
      </w:r>
      <w:bookmarkStart w:id="266" w:name="_Toc438051795"/>
      <w:r>
        <w:rPr>
          <w:rFonts w:hint="eastAsia"/>
          <w:sz w:val="32"/>
        </w:rPr>
        <w:t>其他事项</w:t>
      </w:r>
      <w:bookmarkEnd w:id="255"/>
      <w:bookmarkEnd w:id="256"/>
      <w:bookmarkEnd w:id="257"/>
      <w:bookmarkEnd w:id="258"/>
      <w:bookmarkEnd w:id="259"/>
      <w:bookmarkEnd w:id="260"/>
      <w:bookmarkEnd w:id="261"/>
      <w:bookmarkEnd w:id="262"/>
      <w:bookmarkEnd w:id="263"/>
      <w:bookmarkEnd w:id="264"/>
      <w:bookmarkEnd w:id="265"/>
      <w:bookmarkEnd w:id="266"/>
    </w:p>
    <w:p w:rsidR="00375B1F" w:rsidRDefault="00BA1C44">
      <w:pPr>
        <w:pStyle w:val="12"/>
        <w:numPr>
          <w:ilvl w:val="0"/>
          <w:numId w:val="3"/>
        </w:numPr>
        <w:spacing w:before="0" w:after="0"/>
        <w:ind w:left="0" w:firstLineChars="202" w:firstLine="646"/>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私募基金合同需要约定的其他事项。</w:t>
      </w:r>
      <w:bookmarkStart w:id="267" w:name="_Toc233447957"/>
    </w:p>
    <w:p w:rsidR="00375B1F" w:rsidRDefault="00BA1C44">
      <w:pPr>
        <w:pStyle w:val="1"/>
        <w:spacing w:beforeLines="100" w:before="326" w:afterLines="50" w:after="163" w:line="240" w:lineRule="auto"/>
        <w:ind w:left="0" w:rightChars="0" w:right="0" w:firstLine="0"/>
        <w:rPr>
          <w:rFonts w:ascii="黑体" w:eastAsia="黑体" w:hAnsi="黑体"/>
          <w:sz w:val="32"/>
          <w:szCs w:val="32"/>
        </w:rPr>
      </w:pPr>
      <w:bookmarkStart w:id="268" w:name="_Toc361151128"/>
      <w:bookmarkStart w:id="269" w:name="_Toc361149967"/>
      <w:bookmarkStart w:id="270" w:name="_Toc361238491"/>
      <w:bookmarkStart w:id="271" w:name="_Toc361242353"/>
      <w:bookmarkStart w:id="272" w:name="_Toc361138269"/>
      <w:bookmarkStart w:id="273" w:name="_Toc363744673"/>
      <w:bookmarkStart w:id="274" w:name="_Toc361299652"/>
      <w:bookmarkStart w:id="275" w:name="_Toc363743517"/>
      <w:bookmarkStart w:id="276" w:name="_Toc363744201"/>
      <w:bookmarkStart w:id="277" w:name="_Toc363646176"/>
      <w:bookmarkStart w:id="278" w:name="_Toc438051796"/>
      <w:r>
        <w:rPr>
          <w:rFonts w:ascii="黑体" w:eastAsia="黑体" w:hAnsi="黑体" w:hint="eastAsia"/>
          <w:sz w:val="32"/>
          <w:szCs w:val="32"/>
        </w:rPr>
        <w:lastRenderedPageBreak/>
        <w:t>附</w:t>
      </w:r>
      <w:r>
        <w:rPr>
          <w:rFonts w:ascii="黑体" w:eastAsia="黑体" w:hAnsi="黑体"/>
          <w:sz w:val="32"/>
          <w:szCs w:val="32"/>
        </w:rPr>
        <w:t xml:space="preserve">  </w:t>
      </w:r>
      <w:r>
        <w:rPr>
          <w:rFonts w:ascii="黑体" w:eastAsia="黑体" w:hAnsi="黑体" w:hint="eastAsia"/>
          <w:sz w:val="32"/>
          <w:szCs w:val="32"/>
        </w:rPr>
        <w:t>则</w:t>
      </w:r>
      <w:bookmarkEnd w:id="267"/>
      <w:bookmarkEnd w:id="268"/>
      <w:bookmarkEnd w:id="269"/>
      <w:bookmarkEnd w:id="270"/>
      <w:bookmarkEnd w:id="271"/>
      <w:bookmarkEnd w:id="272"/>
      <w:bookmarkEnd w:id="273"/>
      <w:bookmarkEnd w:id="274"/>
      <w:bookmarkEnd w:id="275"/>
      <w:bookmarkEnd w:id="276"/>
      <w:bookmarkEnd w:id="277"/>
      <w:bookmarkEnd w:id="278"/>
    </w:p>
    <w:p w:rsidR="00375B1F" w:rsidRDefault="00BA1C44">
      <w:pPr>
        <w:pStyle w:val="12"/>
        <w:widowControl/>
        <w:numPr>
          <w:ilvl w:val="0"/>
          <w:numId w:val="3"/>
        </w:numPr>
        <w:spacing w:before="0" w:after="0" w:line="520" w:lineRule="exact"/>
        <w:ind w:left="0" w:firstLineChars="202" w:firstLine="646"/>
        <w:jc w:val="left"/>
        <w:rPr>
          <w:kern w:val="0"/>
          <w:sz w:val="20"/>
        </w:rPr>
      </w:pPr>
      <w:r>
        <w:rPr>
          <w:rFonts w:ascii="仿宋_GB2312" w:eastAsia="仿宋_GB2312" w:hAnsi="仿宋" w:hint="eastAsia"/>
          <w:sz w:val="32"/>
          <w:szCs w:val="32"/>
        </w:rPr>
        <w:t>本指引由</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负责解释，自201</w:t>
      </w:r>
      <w:r w:rsidR="00BF472F">
        <w:rPr>
          <w:rFonts w:ascii="仿宋_GB2312" w:eastAsia="仿宋_GB2312" w:hAnsi="仿宋" w:hint="eastAsia"/>
          <w:sz w:val="32"/>
          <w:szCs w:val="32"/>
        </w:rPr>
        <w:t>6</w:t>
      </w:r>
      <w:r>
        <w:rPr>
          <w:rFonts w:ascii="仿宋_GB2312" w:eastAsia="仿宋_GB2312" w:hAnsi="仿宋" w:hint="eastAsia"/>
          <w:sz w:val="32"/>
          <w:szCs w:val="32"/>
        </w:rPr>
        <w:t>年[]月</w:t>
      </w:r>
      <w:r>
        <w:rPr>
          <w:rFonts w:ascii="仿宋_GB2312" w:eastAsia="仿宋_GB2312" w:hAnsi="仿宋"/>
          <w:sz w:val="32"/>
          <w:szCs w:val="32"/>
        </w:rPr>
        <w:t>[]</w:t>
      </w:r>
      <w:r>
        <w:rPr>
          <w:rFonts w:ascii="仿宋_GB2312" w:eastAsia="仿宋_GB2312" w:hAnsi="仿宋" w:hint="eastAsia"/>
          <w:sz w:val="32"/>
          <w:szCs w:val="32"/>
        </w:rPr>
        <w:t>日起施行。</w:t>
      </w:r>
    </w:p>
    <w:sectPr w:rsidR="00375B1F">
      <w:footerReference w:type="default" r:id="rId11"/>
      <w:pgSz w:w="11906" w:h="16838"/>
      <w:pgMar w:top="1440" w:right="1274" w:bottom="1440" w:left="1701"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B3" w:rsidRDefault="001A35B3">
      <w:pPr>
        <w:spacing w:before="0" w:after="0"/>
      </w:pPr>
      <w:r>
        <w:separator/>
      </w:r>
    </w:p>
  </w:endnote>
  <w:endnote w:type="continuationSeparator" w:id="0">
    <w:p w:rsidR="001A35B3" w:rsidRDefault="001A35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ì."/>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00" w:usb3="00000000" w:csb0="00040000" w:csb1="00000000"/>
  </w:font>
  <w:font w:name="Heiti SC Light">
    <w:altName w:val="Arial Unicode MS"/>
    <w:charset w:val="50"/>
    <w:family w:val="auto"/>
    <w:pitch w:val="default"/>
    <w:sig w:usb0="00000000" w:usb1="00000000" w:usb2="00000010" w:usb3="00000000" w:csb0="003E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22" w:rsidRDefault="004C7222">
    <w:pPr>
      <w:pStyle w:val="a9"/>
      <w:jc w:val="center"/>
    </w:pPr>
    <w:r>
      <w:fldChar w:fldCharType="begin"/>
    </w:r>
    <w:r>
      <w:instrText xml:space="preserve"> PAGE   \* MERGEFORMAT </w:instrText>
    </w:r>
    <w:r>
      <w:fldChar w:fldCharType="separate"/>
    </w:r>
    <w:r w:rsidR="00841061" w:rsidRPr="00841061">
      <w:rPr>
        <w:noProof/>
        <w:lang w:val="zh-CN"/>
      </w:rPr>
      <w:t>1</w:t>
    </w:r>
    <w:r>
      <w:rPr>
        <w:lang w:val="zh-CN"/>
      </w:rPr>
      <w:fldChar w:fldCharType="end"/>
    </w:r>
  </w:p>
  <w:p w:rsidR="004C7222" w:rsidRDefault="004C722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22" w:rsidRDefault="004C7222">
    <w:pPr>
      <w:pStyle w:val="a9"/>
      <w:jc w:val="center"/>
    </w:pPr>
    <w:r>
      <w:fldChar w:fldCharType="begin"/>
    </w:r>
    <w:r>
      <w:instrText xml:space="preserve"> PAGE   \* MERGEFORMAT </w:instrText>
    </w:r>
    <w:r>
      <w:fldChar w:fldCharType="separate"/>
    </w:r>
    <w:r w:rsidR="00841061" w:rsidRPr="00841061">
      <w:rPr>
        <w:noProof/>
        <w:lang w:val="zh-CN"/>
      </w:rPr>
      <w:t>16</w:t>
    </w:r>
    <w:r>
      <w:rPr>
        <w:lang w:val="zh-CN"/>
      </w:rPr>
      <w:fldChar w:fldCharType="end"/>
    </w:r>
  </w:p>
  <w:p w:rsidR="004C7222" w:rsidRDefault="004C72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B3" w:rsidRDefault="001A35B3">
      <w:pPr>
        <w:spacing w:before="0" w:after="0"/>
      </w:pPr>
      <w:r>
        <w:separator/>
      </w:r>
    </w:p>
  </w:footnote>
  <w:footnote w:type="continuationSeparator" w:id="0">
    <w:p w:rsidR="001A35B3" w:rsidRDefault="001A35B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492"/>
    <w:multiLevelType w:val="multilevel"/>
    <w:tmpl w:val="02040492"/>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
    <w:nsid w:val="03404E93"/>
    <w:multiLevelType w:val="multilevel"/>
    <w:tmpl w:val="03404E93"/>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
    <w:nsid w:val="081719CF"/>
    <w:multiLevelType w:val="multilevel"/>
    <w:tmpl w:val="081719C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
    <w:nsid w:val="0F310FCA"/>
    <w:multiLevelType w:val="multilevel"/>
    <w:tmpl w:val="0F310FC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4">
    <w:nsid w:val="124760A9"/>
    <w:multiLevelType w:val="multilevel"/>
    <w:tmpl w:val="124760A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5">
    <w:nsid w:val="145B2C6B"/>
    <w:multiLevelType w:val="multilevel"/>
    <w:tmpl w:val="145B2C6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6">
    <w:nsid w:val="18BF1C66"/>
    <w:multiLevelType w:val="multilevel"/>
    <w:tmpl w:val="18BF1C6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7">
    <w:nsid w:val="1A7B064D"/>
    <w:multiLevelType w:val="multilevel"/>
    <w:tmpl w:val="1A7B064D"/>
    <w:lvl w:ilvl="0">
      <w:start w:val="1"/>
      <w:numFmt w:val="chineseCountingThousand"/>
      <w:pStyle w:val="a"/>
      <w:lvlText w:val="第%1节"/>
      <w:lvlJc w:val="center"/>
      <w:pPr>
        <w:ind w:left="1985" w:firstLine="0"/>
      </w:pPr>
      <w:rPr>
        <w:rFonts w:hint="eastAsia"/>
        <w:b/>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8">
    <w:nsid w:val="227C1E66"/>
    <w:multiLevelType w:val="multilevel"/>
    <w:tmpl w:val="227C1E6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9">
    <w:nsid w:val="250A2F61"/>
    <w:multiLevelType w:val="multilevel"/>
    <w:tmpl w:val="250A2F6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0">
    <w:nsid w:val="26F54962"/>
    <w:multiLevelType w:val="multilevel"/>
    <w:tmpl w:val="26F54962"/>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1">
    <w:nsid w:val="33824AA6"/>
    <w:multiLevelType w:val="multilevel"/>
    <w:tmpl w:val="33824AA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2">
    <w:nsid w:val="3B6964C9"/>
    <w:multiLevelType w:val="multilevel"/>
    <w:tmpl w:val="3B6964C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3">
    <w:nsid w:val="3B6B2779"/>
    <w:multiLevelType w:val="multilevel"/>
    <w:tmpl w:val="3B6B277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4">
    <w:nsid w:val="3E7F3EE5"/>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5">
    <w:nsid w:val="3F722EF1"/>
    <w:multiLevelType w:val="multilevel"/>
    <w:tmpl w:val="3F722EF1"/>
    <w:lvl w:ilvl="0">
      <w:start w:val="1"/>
      <w:numFmt w:val="chineseCountingThousand"/>
      <w:lvlText w:val="第%1条"/>
      <w:lvlJc w:val="left"/>
      <w:pPr>
        <w:ind w:left="987" w:hanging="420"/>
      </w:pPr>
      <w:rPr>
        <w:rFonts w:ascii="黑体" w:eastAsia="黑体" w:hAnsi="黑体" w:hint="eastAsia"/>
        <w:b w:val="0"/>
        <w:sz w:val="32"/>
        <w:szCs w:val="32"/>
      </w:rPr>
    </w:lvl>
    <w:lvl w:ilvl="1" w:tentative="1">
      <w:start w:val="1"/>
      <w:numFmt w:val="japaneseCounting"/>
      <w:lvlText w:val="（%2）"/>
      <w:lvlJc w:val="left"/>
      <w:pPr>
        <w:ind w:left="2067" w:hanging="1080"/>
      </w:pPr>
      <w:rPr>
        <w:rFonts w:hint="default"/>
        <w:u w:val="none"/>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16">
    <w:nsid w:val="40A377A6"/>
    <w:multiLevelType w:val="multilevel"/>
    <w:tmpl w:val="40A377A6"/>
    <w:lvl w:ilvl="0">
      <w:start w:val="1"/>
      <w:numFmt w:val="chineseCountingThousand"/>
      <w:lvlText w:val="(%1)"/>
      <w:lvlJc w:val="left"/>
      <w:pPr>
        <w:ind w:left="905" w:hanging="420"/>
      </w:pPr>
      <w:rPr>
        <w:b w:val="0"/>
      </w:r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7">
    <w:nsid w:val="41A51D8B"/>
    <w:multiLevelType w:val="multilevel"/>
    <w:tmpl w:val="41A51D8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8">
    <w:nsid w:val="42C0073B"/>
    <w:multiLevelType w:val="multilevel"/>
    <w:tmpl w:val="42C0073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9">
    <w:nsid w:val="45935265"/>
    <w:multiLevelType w:val="multilevel"/>
    <w:tmpl w:val="4593526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0">
    <w:nsid w:val="45F1704B"/>
    <w:multiLevelType w:val="multilevel"/>
    <w:tmpl w:val="45F1704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1">
    <w:nsid w:val="4638094F"/>
    <w:multiLevelType w:val="multilevel"/>
    <w:tmpl w:val="4638094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2">
    <w:nsid w:val="49EE6F86"/>
    <w:multiLevelType w:val="multilevel"/>
    <w:tmpl w:val="49EE6F8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3">
    <w:nsid w:val="4D4346C7"/>
    <w:multiLevelType w:val="multilevel"/>
    <w:tmpl w:val="4D4346C7"/>
    <w:lvl w:ilvl="0">
      <w:start w:val="1"/>
      <w:numFmt w:val="decimal"/>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4">
    <w:nsid w:val="5E9B1D3C"/>
    <w:multiLevelType w:val="multilevel"/>
    <w:tmpl w:val="5E9B1D3C"/>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5">
    <w:nsid w:val="688342FF"/>
    <w:multiLevelType w:val="multilevel"/>
    <w:tmpl w:val="688342F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6">
    <w:nsid w:val="6AEC38A6"/>
    <w:multiLevelType w:val="hybridMultilevel"/>
    <w:tmpl w:val="E7042A0E"/>
    <w:lvl w:ilvl="0" w:tplc="04090017">
      <w:start w:val="1"/>
      <w:numFmt w:val="chineseCountingThousand"/>
      <w:lvlText w:val="(%1)"/>
      <w:lvlJc w:val="left"/>
      <w:pPr>
        <w:ind w:left="1066" w:hanging="420"/>
      </w:p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27">
    <w:nsid w:val="73C87F22"/>
    <w:multiLevelType w:val="multilevel"/>
    <w:tmpl w:val="73C87F22"/>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8">
    <w:nsid w:val="75882231"/>
    <w:multiLevelType w:val="multilevel"/>
    <w:tmpl w:val="7588223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9">
    <w:nsid w:val="792F5385"/>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0">
    <w:nsid w:val="795D49EB"/>
    <w:multiLevelType w:val="multilevel"/>
    <w:tmpl w:val="795D49EB"/>
    <w:lvl w:ilvl="0">
      <w:start w:val="1"/>
      <w:numFmt w:val="chineseCountingThousand"/>
      <w:pStyle w:val="1"/>
      <w:lvlText w:val="第%1章"/>
      <w:lvlJc w:val="center"/>
      <w:pPr>
        <w:ind w:left="5807" w:hanging="420"/>
      </w:pPr>
      <w:rPr>
        <w:rFonts w:ascii="Times New Roman" w:hAnsi="Times New Roman" w:cs="Times New Roman"/>
        <w:b/>
        <w:bCs w:val="0"/>
        <w:i w:val="0"/>
        <w:iCs w:val="0"/>
        <w:caps w:val="0"/>
        <w:smallCaps w:val="0"/>
        <w:strike w:val="0"/>
        <w:dstrike w:val="0"/>
        <w:snapToGrid w:val="0"/>
        <w:color w:val="000000"/>
        <w:spacing w:val="0"/>
        <w:w w:val="0"/>
        <w:kern w:val="0"/>
        <w:position w:val="0"/>
        <w:szCs w:val="16"/>
        <w:u w:val="none"/>
        <w14:shadow w14:blurRad="0" w14:dist="0" w14:dir="0" w14:sx="0" w14:sy="0" w14:kx="0" w14:ky="0" w14:algn="none">
          <w14:srgbClr w14:val="000000"/>
        </w14:shadow>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nsid w:val="7DC37C2A"/>
    <w:multiLevelType w:val="multilevel"/>
    <w:tmpl w:val="7DC37C2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num w:numId="1">
    <w:abstractNumId w:val="30"/>
  </w:num>
  <w:num w:numId="2">
    <w:abstractNumId w:val="7"/>
  </w:num>
  <w:num w:numId="3">
    <w:abstractNumId w:val="15"/>
  </w:num>
  <w:num w:numId="4">
    <w:abstractNumId w:val="29"/>
  </w:num>
  <w:num w:numId="5">
    <w:abstractNumId w:val="10"/>
  </w:num>
  <w:num w:numId="6">
    <w:abstractNumId w:val="1"/>
  </w:num>
  <w:num w:numId="7">
    <w:abstractNumId w:val="13"/>
  </w:num>
  <w:num w:numId="8">
    <w:abstractNumId w:val="3"/>
  </w:num>
  <w:num w:numId="9">
    <w:abstractNumId w:val="17"/>
  </w:num>
  <w:num w:numId="10">
    <w:abstractNumId w:val="22"/>
  </w:num>
  <w:num w:numId="11">
    <w:abstractNumId w:val="31"/>
  </w:num>
  <w:num w:numId="12">
    <w:abstractNumId w:val="5"/>
  </w:num>
  <w:num w:numId="13">
    <w:abstractNumId w:val="24"/>
  </w:num>
  <w:num w:numId="14">
    <w:abstractNumId w:val="16"/>
  </w:num>
  <w:num w:numId="15">
    <w:abstractNumId w:val="2"/>
  </w:num>
  <w:num w:numId="16">
    <w:abstractNumId w:val="8"/>
  </w:num>
  <w:num w:numId="17">
    <w:abstractNumId w:val="19"/>
  </w:num>
  <w:num w:numId="18">
    <w:abstractNumId w:val="20"/>
  </w:num>
  <w:num w:numId="19">
    <w:abstractNumId w:val="9"/>
  </w:num>
  <w:num w:numId="20">
    <w:abstractNumId w:val="25"/>
  </w:num>
  <w:num w:numId="21">
    <w:abstractNumId w:val="23"/>
  </w:num>
  <w:num w:numId="22">
    <w:abstractNumId w:val="28"/>
  </w:num>
  <w:num w:numId="23">
    <w:abstractNumId w:val="27"/>
  </w:num>
  <w:num w:numId="24">
    <w:abstractNumId w:val="11"/>
  </w:num>
  <w:num w:numId="25">
    <w:abstractNumId w:val="21"/>
  </w:num>
  <w:num w:numId="26">
    <w:abstractNumId w:val="18"/>
  </w:num>
  <w:num w:numId="27">
    <w:abstractNumId w:val="14"/>
  </w:num>
  <w:num w:numId="28">
    <w:abstractNumId w:val="0"/>
  </w:num>
  <w:num w:numId="29">
    <w:abstractNumId w:val="4"/>
  </w:num>
  <w:num w:numId="30">
    <w:abstractNumId w:val="12"/>
  </w:num>
  <w:num w:numId="31">
    <w:abstractNumId w:val="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09"/>
    <w:rsid w:val="00000B7D"/>
    <w:rsid w:val="000015BF"/>
    <w:rsid w:val="00004C15"/>
    <w:rsid w:val="00004D5F"/>
    <w:rsid w:val="00006EBD"/>
    <w:rsid w:val="000073E4"/>
    <w:rsid w:val="0001035D"/>
    <w:rsid w:val="0001168E"/>
    <w:rsid w:val="00012BAA"/>
    <w:rsid w:val="00012F29"/>
    <w:rsid w:val="000131F5"/>
    <w:rsid w:val="00014725"/>
    <w:rsid w:val="00014774"/>
    <w:rsid w:val="00014C3A"/>
    <w:rsid w:val="0001697E"/>
    <w:rsid w:val="00016BC5"/>
    <w:rsid w:val="00016E0F"/>
    <w:rsid w:val="0001764B"/>
    <w:rsid w:val="00021EFC"/>
    <w:rsid w:val="00023610"/>
    <w:rsid w:val="00023A50"/>
    <w:rsid w:val="00024C86"/>
    <w:rsid w:val="00026A78"/>
    <w:rsid w:val="000309C0"/>
    <w:rsid w:val="00031D0F"/>
    <w:rsid w:val="00032E9F"/>
    <w:rsid w:val="00034F26"/>
    <w:rsid w:val="00035D90"/>
    <w:rsid w:val="00036C53"/>
    <w:rsid w:val="000416FD"/>
    <w:rsid w:val="000423F3"/>
    <w:rsid w:val="00044362"/>
    <w:rsid w:val="000445AC"/>
    <w:rsid w:val="00044FA0"/>
    <w:rsid w:val="00045393"/>
    <w:rsid w:val="00046921"/>
    <w:rsid w:val="00046BF4"/>
    <w:rsid w:val="00047DA0"/>
    <w:rsid w:val="00050AF5"/>
    <w:rsid w:val="000522D9"/>
    <w:rsid w:val="00052DE8"/>
    <w:rsid w:val="00054679"/>
    <w:rsid w:val="0005619F"/>
    <w:rsid w:val="00056365"/>
    <w:rsid w:val="00061C35"/>
    <w:rsid w:val="00070D5B"/>
    <w:rsid w:val="00070FBF"/>
    <w:rsid w:val="000720F4"/>
    <w:rsid w:val="00072857"/>
    <w:rsid w:val="000736F6"/>
    <w:rsid w:val="00073C4F"/>
    <w:rsid w:val="000743E3"/>
    <w:rsid w:val="00080B11"/>
    <w:rsid w:val="00080C57"/>
    <w:rsid w:val="00080E44"/>
    <w:rsid w:val="000812AB"/>
    <w:rsid w:val="000816DC"/>
    <w:rsid w:val="00081B56"/>
    <w:rsid w:val="00081BFC"/>
    <w:rsid w:val="0008767A"/>
    <w:rsid w:val="0009050F"/>
    <w:rsid w:val="00091CA4"/>
    <w:rsid w:val="0009318A"/>
    <w:rsid w:val="00093A05"/>
    <w:rsid w:val="00094AD3"/>
    <w:rsid w:val="00094B06"/>
    <w:rsid w:val="00094B80"/>
    <w:rsid w:val="00096B28"/>
    <w:rsid w:val="000A2421"/>
    <w:rsid w:val="000A2FFD"/>
    <w:rsid w:val="000A3A54"/>
    <w:rsid w:val="000A3AB7"/>
    <w:rsid w:val="000A3B48"/>
    <w:rsid w:val="000A3F44"/>
    <w:rsid w:val="000A3FE1"/>
    <w:rsid w:val="000A4890"/>
    <w:rsid w:val="000A493D"/>
    <w:rsid w:val="000A4D79"/>
    <w:rsid w:val="000A502F"/>
    <w:rsid w:val="000B03B4"/>
    <w:rsid w:val="000B0EC9"/>
    <w:rsid w:val="000B13DB"/>
    <w:rsid w:val="000B4B47"/>
    <w:rsid w:val="000B5BD2"/>
    <w:rsid w:val="000C0256"/>
    <w:rsid w:val="000C0C85"/>
    <w:rsid w:val="000C15A9"/>
    <w:rsid w:val="000C1A0D"/>
    <w:rsid w:val="000C315C"/>
    <w:rsid w:val="000C45B6"/>
    <w:rsid w:val="000C7E59"/>
    <w:rsid w:val="000D07E5"/>
    <w:rsid w:val="000D0932"/>
    <w:rsid w:val="000D1004"/>
    <w:rsid w:val="000D1788"/>
    <w:rsid w:val="000D462E"/>
    <w:rsid w:val="000D4B5A"/>
    <w:rsid w:val="000D573B"/>
    <w:rsid w:val="000D5F07"/>
    <w:rsid w:val="000D6980"/>
    <w:rsid w:val="000D6BA2"/>
    <w:rsid w:val="000D7C0F"/>
    <w:rsid w:val="000E0998"/>
    <w:rsid w:val="000E2F26"/>
    <w:rsid w:val="000E3980"/>
    <w:rsid w:val="000E3A64"/>
    <w:rsid w:val="000E41BA"/>
    <w:rsid w:val="000E4E73"/>
    <w:rsid w:val="000E532C"/>
    <w:rsid w:val="000F0EED"/>
    <w:rsid w:val="000F27E9"/>
    <w:rsid w:val="000F2AE7"/>
    <w:rsid w:val="000F333D"/>
    <w:rsid w:val="000F35F4"/>
    <w:rsid w:val="000F576A"/>
    <w:rsid w:val="000F63B2"/>
    <w:rsid w:val="000F6C0A"/>
    <w:rsid w:val="0010144E"/>
    <w:rsid w:val="0010322D"/>
    <w:rsid w:val="0010342B"/>
    <w:rsid w:val="00103D5B"/>
    <w:rsid w:val="00105D1A"/>
    <w:rsid w:val="00107898"/>
    <w:rsid w:val="00107D5B"/>
    <w:rsid w:val="0011007C"/>
    <w:rsid w:val="00110ED5"/>
    <w:rsid w:val="0011143B"/>
    <w:rsid w:val="00112E9A"/>
    <w:rsid w:val="00113EFF"/>
    <w:rsid w:val="00113F64"/>
    <w:rsid w:val="00114018"/>
    <w:rsid w:val="0011576E"/>
    <w:rsid w:val="00115E99"/>
    <w:rsid w:val="0011665D"/>
    <w:rsid w:val="001176F1"/>
    <w:rsid w:val="001178A5"/>
    <w:rsid w:val="00117950"/>
    <w:rsid w:val="001218E3"/>
    <w:rsid w:val="00122D93"/>
    <w:rsid w:val="001230CA"/>
    <w:rsid w:val="00123D9B"/>
    <w:rsid w:val="00124133"/>
    <w:rsid w:val="00125DF1"/>
    <w:rsid w:val="00126CC9"/>
    <w:rsid w:val="001271F0"/>
    <w:rsid w:val="001278C6"/>
    <w:rsid w:val="00127F6E"/>
    <w:rsid w:val="001310BF"/>
    <w:rsid w:val="00132BC3"/>
    <w:rsid w:val="00134AD5"/>
    <w:rsid w:val="00134F98"/>
    <w:rsid w:val="0013611F"/>
    <w:rsid w:val="00140056"/>
    <w:rsid w:val="00144F0C"/>
    <w:rsid w:val="0014537A"/>
    <w:rsid w:val="00147368"/>
    <w:rsid w:val="00150D88"/>
    <w:rsid w:val="001528B5"/>
    <w:rsid w:val="0015433A"/>
    <w:rsid w:val="00155D20"/>
    <w:rsid w:val="00156C5C"/>
    <w:rsid w:val="0016002E"/>
    <w:rsid w:val="00160549"/>
    <w:rsid w:val="00161D52"/>
    <w:rsid w:val="00161DAD"/>
    <w:rsid w:val="001627EE"/>
    <w:rsid w:val="00164145"/>
    <w:rsid w:val="001647EB"/>
    <w:rsid w:val="00164AE3"/>
    <w:rsid w:val="00166901"/>
    <w:rsid w:val="00167034"/>
    <w:rsid w:val="00167BC9"/>
    <w:rsid w:val="00167C84"/>
    <w:rsid w:val="00167F31"/>
    <w:rsid w:val="00172AE3"/>
    <w:rsid w:val="00173AFA"/>
    <w:rsid w:val="00177C31"/>
    <w:rsid w:val="00177F62"/>
    <w:rsid w:val="001805CE"/>
    <w:rsid w:val="00181982"/>
    <w:rsid w:val="00181E9C"/>
    <w:rsid w:val="00183D07"/>
    <w:rsid w:val="00183EEB"/>
    <w:rsid w:val="001900E8"/>
    <w:rsid w:val="00191024"/>
    <w:rsid w:val="00191F05"/>
    <w:rsid w:val="00192D30"/>
    <w:rsid w:val="00193617"/>
    <w:rsid w:val="001941A9"/>
    <w:rsid w:val="00194354"/>
    <w:rsid w:val="001957DC"/>
    <w:rsid w:val="00195DF7"/>
    <w:rsid w:val="001A101C"/>
    <w:rsid w:val="001A24CC"/>
    <w:rsid w:val="001A35B3"/>
    <w:rsid w:val="001A3E4B"/>
    <w:rsid w:val="001A5669"/>
    <w:rsid w:val="001A5999"/>
    <w:rsid w:val="001A6EC8"/>
    <w:rsid w:val="001A7DFC"/>
    <w:rsid w:val="001B0AE4"/>
    <w:rsid w:val="001B15D3"/>
    <w:rsid w:val="001B1818"/>
    <w:rsid w:val="001B2328"/>
    <w:rsid w:val="001B3533"/>
    <w:rsid w:val="001B3F52"/>
    <w:rsid w:val="001B495C"/>
    <w:rsid w:val="001B4B91"/>
    <w:rsid w:val="001B760F"/>
    <w:rsid w:val="001C2D07"/>
    <w:rsid w:val="001C6BCF"/>
    <w:rsid w:val="001D4799"/>
    <w:rsid w:val="001D4B10"/>
    <w:rsid w:val="001D68DE"/>
    <w:rsid w:val="001D7919"/>
    <w:rsid w:val="001E02E8"/>
    <w:rsid w:val="001E1BC7"/>
    <w:rsid w:val="001E1D40"/>
    <w:rsid w:val="001E2D95"/>
    <w:rsid w:val="001E34A3"/>
    <w:rsid w:val="001E4FB9"/>
    <w:rsid w:val="001E5BEA"/>
    <w:rsid w:val="001E7671"/>
    <w:rsid w:val="001F1FF0"/>
    <w:rsid w:val="001F2866"/>
    <w:rsid w:val="001F2E21"/>
    <w:rsid w:val="001F35C4"/>
    <w:rsid w:val="001F395C"/>
    <w:rsid w:val="001F5068"/>
    <w:rsid w:val="001F5A45"/>
    <w:rsid w:val="001F6DD5"/>
    <w:rsid w:val="00201E0A"/>
    <w:rsid w:val="002025E5"/>
    <w:rsid w:val="002033C3"/>
    <w:rsid w:val="00204CCB"/>
    <w:rsid w:val="0020676F"/>
    <w:rsid w:val="00206FE3"/>
    <w:rsid w:val="00207084"/>
    <w:rsid w:val="00211FD5"/>
    <w:rsid w:val="002123BB"/>
    <w:rsid w:val="00212D78"/>
    <w:rsid w:val="002143B4"/>
    <w:rsid w:val="00215277"/>
    <w:rsid w:val="002155E2"/>
    <w:rsid w:val="0021728C"/>
    <w:rsid w:val="00220DEF"/>
    <w:rsid w:val="00221340"/>
    <w:rsid w:val="00225D24"/>
    <w:rsid w:val="0022697F"/>
    <w:rsid w:val="0023137B"/>
    <w:rsid w:val="00231CEF"/>
    <w:rsid w:val="00231F26"/>
    <w:rsid w:val="002323CA"/>
    <w:rsid w:val="0023341C"/>
    <w:rsid w:val="00233A1B"/>
    <w:rsid w:val="00234C3D"/>
    <w:rsid w:val="00234DD8"/>
    <w:rsid w:val="00240A26"/>
    <w:rsid w:val="00240CE1"/>
    <w:rsid w:val="00240F94"/>
    <w:rsid w:val="00241769"/>
    <w:rsid w:val="002422A0"/>
    <w:rsid w:val="00243717"/>
    <w:rsid w:val="002437C8"/>
    <w:rsid w:val="0024391D"/>
    <w:rsid w:val="00243C94"/>
    <w:rsid w:val="002450E2"/>
    <w:rsid w:val="00245821"/>
    <w:rsid w:val="0024598B"/>
    <w:rsid w:val="002467FF"/>
    <w:rsid w:val="002468F6"/>
    <w:rsid w:val="00247F71"/>
    <w:rsid w:val="00251078"/>
    <w:rsid w:val="002514A6"/>
    <w:rsid w:val="002518A1"/>
    <w:rsid w:val="00251D32"/>
    <w:rsid w:val="00251FF8"/>
    <w:rsid w:val="00252C8A"/>
    <w:rsid w:val="00253514"/>
    <w:rsid w:val="00255F22"/>
    <w:rsid w:val="00255F9A"/>
    <w:rsid w:val="00257815"/>
    <w:rsid w:val="00260829"/>
    <w:rsid w:val="002612AD"/>
    <w:rsid w:val="00261A0E"/>
    <w:rsid w:val="00265787"/>
    <w:rsid w:val="00266180"/>
    <w:rsid w:val="00266521"/>
    <w:rsid w:val="00267A27"/>
    <w:rsid w:val="00270BAE"/>
    <w:rsid w:val="00270F46"/>
    <w:rsid w:val="00270FDB"/>
    <w:rsid w:val="00271C4F"/>
    <w:rsid w:val="00272312"/>
    <w:rsid w:val="00272F68"/>
    <w:rsid w:val="0027350C"/>
    <w:rsid w:val="002752CD"/>
    <w:rsid w:val="0027540B"/>
    <w:rsid w:val="002759FB"/>
    <w:rsid w:val="00275C16"/>
    <w:rsid w:val="0027770C"/>
    <w:rsid w:val="00282DDC"/>
    <w:rsid w:val="00283286"/>
    <w:rsid w:val="00284BE0"/>
    <w:rsid w:val="00284E1D"/>
    <w:rsid w:val="00285059"/>
    <w:rsid w:val="00286F0A"/>
    <w:rsid w:val="0028748A"/>
    <w:rsid w:val="0029077D"/>
    <w:rsid w:val="002919EA"/>
    <w:rsid w:val="0029218C"/>
    <w:rsid w:val="0029496D"/>
    <w:rsid w:val="0029545B"/>
    <w:rsid w:val="002A3637"/>
    <w:rsid w:val="002A4282"/>
    <w:rsid w:val="002A4DD7"/>
    <w:rsid w:val="002A52C7"/>
    <w:rsid w:val="002A56A7"/>
    <w:rsid w:val="002B050E"/>
    <w:rsid w:val="002B16FA"/>
    <w:rsid w:val="002B1D1D"/>
    <w:rsid w:val="002B3CD0"/>
    <w:rsid w:val="002B454B"/>
    <w:rsid w:val="002B75E8"/>
    <w:rsid w:val="002C03B2"/>
    <w:rsid w:val="002C1CEB"/>
    <w:rsid w:val="002C2E9F"/>
    <w:rsid w:val="002C4FA2"/>
    <w:rsid w:val="002C569C"/>
    <w:rsid w:val="002C651E"/>
    <w:rsid w:val="002C77CC"/>
    <w:rsid w:val="002D1EF7"/>
    <w:rsid w:val="002D254C"/>
    <w:rsid w:val="002D3531"/>
    <w:rsid w:val="002D382B"/>
    <w:rsid w:val="002D39D2"/>
    <w:rsid w:val="002D3A4C"/>
    <w:rsid w:val="002D564F"/>
    <w:rsid w:val="002D7556"/>
    <w:rsid w:val="002E0D3F"/>
    <w:rsid w:val="002E4F7E"/>
    <w:rsid w:val="002E596E"/>
    <w:rsid w:val="002E7230"/>
    <w:rsid w:val="00303228"/>
    <w:rsid w:val="00303E8C"/>
    <w:rsid w:val="00303F5A"/>
    <w:rsid w:val="00306677"/>
    <w:rsid w:val="00310B37"/>
    <w:rsid w:val="00311651"/>
    <w:rsid w:val="0031233A"/>
    <w:rsid w:val="003134D5"/>
    <w:rsid w:val="003137F1"/>
    <w:rsid w:val="00314CB3"/>
    <w:rsid w:val="003166EA"/>
    <w:rsid w:val="00321470"/>
    <w:rsid w:val="00321A22"/>
    <w:rsid w:val="00321BD3"/>
    <w:rsid w:val="00323EB2"/>
    <w:rsid w:val="003242E5"/>
    <w:rsid w:val="0032576A"/>
    <w:rsid w:val="00325AB0"/>
    <w:rsid w:val="00325D80"/>
    <w:rsid w:val="003262B6"/>
    <w:rsid w:val="00326CE8"/>
    <w:rsid w:val="0032747A"/>
    <w:rsid w:val="0033074E"/>
    <w:rsid w:val="00332B81"/>
    <w:rsid w:val="00333E96"/>
    <w:rsid w:val="0033413E"/>
    <w:rsid w:val="0033439A"/>
    <w:rsid w:val="00335A47"/>
    <w:rsid w:val="00335DCE"/>
    <w:rsid w:val="003362BA"/>
    <w:rsid w:val="0033641B"/>
    <w:rsid w:val="003369DE"/>
    <w:rsid w:val="00336BCE"/>
    <w:rsid w:val="00337ACF"/>
    <w:rsid w:val="00341458"/>
    <w:rsid w:val="00341D3F"/>
    <w:rsid w:val="003427D6"/>
    <w:rsid w:val="003449C7"/>
    <w:rsid w:val="003501DC"/>
    <w:rsid w:val="00350541"/>
    <w:rsid w:val="00350734"/>
    <w:rsid w:val="00350F03"/>
    <w:rsid w:val="00352321"/>
    <w:rsid w:val="003535F9"/>
    <w:rsid w:val="00353D9B"/>
    <w:rsid w:val="00354BBF"/>
    <w:rsid w:val="0035637D"/>
    <w:rsid w:val="0035789F"/>
    <w:rsid w:val="00362B5D"/>
    <w:rsid w:val="00363AF2"/>
    <w:rsid w:val="00363DF8"/>
    <w:rsid w:val="0036439F"/>
    <w:rsid w:val="00367D8C"/>
    <w:rsid w:val="00370092"/>
    <w:rsid w:val="0037178B"/>
    <w:rsid w:val="00373942"/>
    <w:rsid w:val="00375B1F"/>
    <w:rsid w:val="00375FA8"/>
    <w:rsid w:val="00376CAB"/>
    <w:rsid w:val="00377E0B"/>
    <w:rsid w:val="00380306"/>
    <w:rsid w:val="0038130A"/>
    <w:rsid w:val="00381D07"/>
    <w:rsid w:val="00383673"/>
    <w:rsid w:val="00386858"/>
    <w:rsid w:val="00387F39"/>
    <w:rsid w:val="003905A8"/>
    <w:rsid w:val="0039167E"/>
    <w:rsid w:val="0039175F"/>
    <w:rsid w:val="0039297E"/>
    <w:rsid w:val="00392AFC"/>
    <w:rsid w:val="003941A5"/>
    <w:rsid w:val="003946C2"/>
    <w:rsid w:val="00395579"/>
    <w:rsid w:val="003974BC"/>
    <w:rsid w:val="003A081D"/>
    <w:rsid w:val="003A1586"/>
    <w:rsid w:val="003A218E"/>
    <w:rsid w:val="003A36A3"/>
    <w:rsid w:val="003A5686"/>
    <w:rsid w:val="003A5D1B"/>
    <w:rsid w:val="003A6241"/>
    <w:rsid w:val="003A6E8E"/>
    <w:rsid w:val="003A7760"/>
    <w:rsid w:val="003A77C0"/>
    <w:rsid w:val="003B0169"/>
    <w:rsid w:val="003B2C8E"/>
    <w:rsid w:val="003B3088"/>
    <w:rsid w:val="003B379F"/>
    <w:rsid w:val="003B625E"/>
    <w:rsid w:val="003B707A"/>
    <w:rsid w:val="003C079E"/>
    <w:rsid w:val="003C0AD1"/>
    <w:rsid w:val="003C1081"/>
    <w:rsid w:val="003C3C50"/>
    <w:rsid w:val="003C3D76"/>
    <w:rsid w:val="003C5547"/>
    <w:rsid w:val="003C6D6E"/>
    <w:rsid w:val="003D0CE9"/>
    <w:rsid w:val="003D0F27"/>
    <w:rsid w:val="003D18D7"/>
    <w:rsid w:val="003D1AFB"/>
    <w:rsid w:val="003D29AB"/>
    <w:rsid w:val="003D4173"/>
    <w:rsid w:val="003D41F5"/>
    <w:rsid w:val="003D752C"/>
    <w:rsid w:val="003E1793"/>
    <w:rsid w:val="003E2F28"/>
    <w:rsid w:val="003E2F86"/>
    <w:rsid w:val="003E4756"/>
    <w:rsid w:val="003E50B9"/>
    <w:rsid w:val="003E5C15"/>
    <w:rsid w:val="003E7191"/>
    <w:rsid w:val="003F1B0E"/>
    <w:rsid w:val="003F3160"/>
    <w:rsid w:val="003F3561"/>
    <w:rsid w:val="003F7D11"/>
    <w:rsid w:val="00400573"/>
    <w:rsid w:val="00400A43"/>
    <w:rsid w:val="0040190C"/>
    <w:rsid w:val="00401E99"/>
    <w:rsid w:val="00402CEA"/>
    <w:rsid w:val="00403419"/>
    <w:rsid w:val="004041E8"/>
    <w:rsid w:val="00407A81"/>
    <w:rsid w:val="00410968"/>
    <w:rsid w:val="00413D69"/>
    <w:rsid w:val="004140DB"/>
    <w:rsid w:val="00414595"/>
    <w:rsid w:val="00414E7A"/>
    <w:rsid w:val="00416EC2"/>
    <w:rsid w:val="00417529"/>
    <w:rsid w:val="0042129D"/>
    <w:rsid w:val="00421BA8"/>
    <w:rsid w:val="00421CC3"/>
    <w:rsid w:val="00422B91"/>
    <w:rsid w:val="00423C79"/>
    <w:rsid w:val="00425E24"/>
    <w:rsid w:val="00430CB8"/>
    <w:rsid w:val="00431302"/>
    <w:rsid w:val="00431726"/>
    <w:rsid w:val="00432E4F"/>
    <w:rsid w:val="00434559"/>
    <w:rsid w:val="0043477E"/>
    <w:rsid w:val="00435EB8"/>
    <w:rsid w:val="00436215"/>
    <w:rsid w:val="004365B3"/>
    <w:rsid w:val="00442595"/>
    <w:rsid w:val="00442601"/>
    <w:rsid w:val="004459FD"/>
    <w:rsid w:val="00445B73"/>
    <w:rsid w:val="00450FD3"/>
    <w:rsid w:val="00451273"/>
    <w:rsid w:val="0045254F"/>
    <w:rsid w:val="00453366"/>
    <w:rsid w:val="00453832"/>
    <w:rsid w:val="004547D4"/>
    <w:rsid w:val="004557EE"/>
    <w:rsid w:val="00455DF1"/>
    <w:rsid w:val="004575E6"/>
    <w:rsid w:val="00460502"/>
    <w:rsid w:val="004615AB"/>
    <w:rsid w:val="00464AC6"/>
    <w:rsid w:val="004662F3"/>
    <w:rsid w:val="004666AD"/>
    <w:rsid w:val="004668D8"/>
    <w:rsid w:val="00467489"/>
    <w:rsid w:val="00470DD4"/>
    <w:rsid w:val="00471219"/>
    <w:rsid w:val="00471C61"/>
    <w:rsid w:val="00473B5D"/>
    <w:rsid w:val="00474704"/>
    <w:rsid w:val="0047510F"/>
    <w:rsid w:val="004766CE"/>
    <w:rsid w:val="00476C07"/>
    <w:rsid w:val="00476FA8"/>
    <w:rsid w:val="00477F3C"/>
    <w:rsid w:val="00480615"/>
    <w:rsid w:val="00482F0D"/>
    <w:rsid w:val="00483253"/>
    <w:rsid w:val="004836B2"/>
    <w:rsid w:val="004838D3"/>
    <w:rsid w:val="00484B84"/>
    <w:rsid w:val="00486B14"/>
    <w:rsid w:val="00487B36"/>
    <w:rsid w:val="0049082A"/>
    <w:rsid w:val="00491385"/>
    <w:rsid w:val="0049323A"/>
    <w:rsid w:val="00493E75"/>
    <w:rsid w:val="00497049"/>
    <w:rsid w:val="004A0C64"/>
    <w:rsid w:val="004A3C4F"/>
    <w:rsid w:val="004A3CEF"/>
    <w:rsid w:val="004A4E44"/>
    <w:rsid w:val="004A5230"/>
    <w:rsid w:val="004B2E55"/>
    <w:rsid w:val="004B3C4B"/>
    <w:rsid w:val="004B44A1"/>
    <w:rsid w:val="004B51B2"/>
    <w:rsid w:val="004B6B2A"/>
    <w:rsid w:val="004B7C30"/>
    <w:rsid w:val="004C1AEB"/>
    <w:rsid w:val="004C2041"/>
    <w:rsid w:val="004C2299"/>
    <w:rsid w:val="004C4C35"/>
    <w:rsid w:val="004C5502"/>
    <w:rsid w:val="004C5741"/>
    <w:rsid w:val="004C7222"/>
    <w:rsid w:val="004C794C"/>
    <w:rsid w:val="004C7A7E"/>
    <w:rsid w:val="004D10FC"/>
    <w:rsid w:val="004D1BD3"/>
    <w:rsid w:val="004D6738"/>
    <w:rsid w:val="004D693D"/>
    <w:rsid w:val="004D6C45"/>
    <w:rsid w:val="004D70BA"/>
    <w:rsid w:val="004D7AEB"/>
    <w:rsid w:val="004E0164"/>
    <w:rsid w:val="004E0A7E"/>
    <w:rsid w:val="004E0BB4"/>
    <w:rsid w:val="004E1B62"/>
    <w:rsid w:val="004E25C6"/>
    <w:rsid w:val="004E2EE5"/>
    <w:rsid w:val="004E3D7B"/>
    <w:rsid w:val="004E5C50"/>
    <w:rsid w:val="004E5D7D"/>
    <w:rsid w:val="004E649A"/>
    <w:rsid w:val="004F0D36"/>
    <w:rsid w:val="004F2837"/>
    <w:rsid w:val="004F3320"/>
    <w:rsid w:val="004F5763"/>
    <w:rsid w:val="004F5F96"/>
    <w:rsid w:val="00500942"/>
    <w:rsid w:val="00500CF3"/>
    <w:rsid w:val="00501B9D"/>
    <w:rsid w:val="0050345C"/>
    <w:rsid w:val="00504E7A"/>
    <w:rsid w:val="00505044"/>
    <w:rsid w:val="00507F69"/>
    <w:rsid w:val="00507FCC"/>
    <w:rsid w:val="00510662"/>
    <w:rsid w:val="00511068"/>
    <w:rsid w:val="005111DD"/>
    <w:rsid w:val="005118BE"/>
    <w:rsid w:val="0051282C"/>
    <w:rsid w:val="00512DE1"/>
    <w:rsid w:val="00513EE5"/>
    <w:rsid w:val="00514196"/>
    <w:rsid w:val="00515AD0"/>
    <w:rsid w:val="00516EE9"/>
    <w:rsid w:val="00520A28"/>
    <w:rsid w:val="00520FBC"/>
    <w:rsid w:val="005211EA"/>
    <w:rsid w:val="00522223"/>
    <w:rsid w:val="00524412"/>
    <w:rsid w:val="00524474"/>
    <w:rsid w:val="00526560"/>
    <w:rsid w:val="00530D26"/>
    <w:rsid w:val="00530DCD"/>
    <w:rsid w:val="005322D9"/>
    <w:rsid w:val="00533413"/>
    <w:rsid w:val="00533BB0"/>
    <w:rsid w:val="00535678"/>
    <w:rsid w:val="005356D9"/>
    <w:rsid w:val="0053616E"/>
    <w:rsid w:val="00536CD4"/>
    <w:rsid w:val="00537205"/>
    <w:rsid w:val="0054040A"/>
    <w:rsid w:val="00542F40"/>
    <w:rsid w:val="00543415"/>
    <w:rsid w:val="0054607B"/>
    <w:rsid w:val="00547AB9"/>
    <w:rsid w:val="005503E6"/>
    <w:rsid w:val="00551C7D"/>
    <w:rsid w:val="00557152"/>
    <w:rsid w:val="00560736"/>
    <w:rsid w:val="0056135E"/>
    <w:rsid w:val="00562AAA"/>
    <w:rsid w:val="0056347F"/>
    <w:rsid w:val="00565CFD"/>
    <w:rsid w:val="005710E9"/>
    <w:rsid w:val="00571329"/>
    <w:rsid w:val="00572594"/>
    <w:rsid w:val="005757D6"/>
    <w:rsid w:val="00575C9C"/>
    <w:rsid w:val="005767C0"/>
    <w:rsid w:val="00576FF0"/>
    <w:rsid w:val="00577689"/>
    <w:rsid w:val="0058199A"/>
    <w:rsid w:val="0058340B"/>
    <w:rsid w:val="00583578"/>
    <w:rsid w:val="00584033"/>
    <w:rsid w:val="00584601"/>
    <w:rsid w:val="0058494D"/>
    <w:rsid w:val="00586802"/>
    <w:rsid w:val="00586C48"/>
    <w:rsid w:val="0059012C"/>
    <w:rsid w:val="00590221"/>
    <w:rsid w:val="0059159C"/>
    <w:rsid w:val="0059232D"/>
    <w:rsid w:val="0059232E"/>
    <w:rsid w:val="00592ACE"/>
    <w:rsid w:val="00593273"/>
    <w:rsid w:val="00594679"/>
    <w:rsid w:val="00594F5D"/>
    <w:rsid w:val="00595AAD"/>
    <w:rsid w:val="005968C6"/>
    <w:rsid w:val="005977E4"/>
    <w:rsid w:val="00597D18"/>
    <w:rsid w:val="005A07C3"/>
    <w:rsid w:val="005A197C"/>
    <w:rsid w:val="005A2786"/>
    <w:rsid w:val="005A3BAF"/>
    <w:rsid w:val="005A3D63"/>
    <w:rsid w:val="005A4ADF"/>
    <w:rsid w:val="005A4C68"/>
    <w:rsid w:val="005A6AF8"/>
    <w:rsid w:val="005B0CBF"/>
    <w:rsid w:val="005B13E6"/>
    <w:rsid w:val="005B1B4A"/>
    <w:rsid w:val="005B28F2"/>
    <w:rsid w:val="005B2ED1"/>
    <w:rsid w:val="005B3573"/>
    <w:rsid w:val="005B35A1"/>
    <w:rsid w:val="005B47F5"/>
    <w:rsid w:val="005B4EC9"/>
    <w:rsid w:val="005B54A4"/>
    <w:rsid w:val="005B64F9"/>
    <w:rsid w:val="005C1283"/>
    <w:rsid w:val="005C488B"/>
    <w:rsid w:val="005C5977"/>
    <w:rsid w:val="005D003F"/>
    <w:rsid w:val="005D1485"/>
    <w:rsid w:val="005D23FF"/>
    <w:rsid w:val="005D25C0"/>
    <w:rsid w:val="005D420D"/>
    <w:rsid w:val="005D43C6"/>
    <w:rsid w:val="005D4B8A"/>
    <w:rsid w:val="005E0974"/>
    <w:rsid w:val="005E10BA"/>
    <w:rsid w:val="005E1D3F"/>
    <w:rsid w:val="005E3463"/>
    <w:rsid w:val="005E3951"/>
    <w:rsid w:val="005E3EC6"/>
    <w:rsid w:val="005E5D72"/>
    <w:rsid w:val="005E6A47"/>
    <w:rsid w:val="005E78C5"/>
    <w:rsid w:val="005F2618"/>
    <w:rsid w:val="005F387D"/>
    <w:rsid w:val="005F3D86"/>
    <w:rsid w:val="005F5186"/>
    <w:rsid w:val="005F643A"/>
    <w:rsid w:val="005F644E"/>
    <w:rsid w:val="005F6FC1"/>
    <w:rsid w:val="005F7821"/>
    <w:rsid w:val="005F7A63"/>
    <w:rsid w:val="006000C5"/>
    <w:rsid w:val="00601B04"/>
    <w:rsid w:val="00603A0C"/>
    <w:rsid w:val="00604FC7"/>
    <w:rsid w:val="00605874"/>
    <w:rsid w:val="00605D9D"/>
    <w:rsid w:val="00606ABD"/>
    <w:rsid w:val="0061012B"/>
    <w:rsid w:val="006101F2"/>
    <w:rsid w:val="0061212A"/>
    <w:rsid w:val="00614815"/>
    <w:rsid w:val="00614C4B"/>
    <w:rsid w:val="00617017"/>
    <w:rsid w:val="0061717B"/>
    <w:rsid w:val="00620321"/>
    <w:rsid w:val="00620B7E"/>
    <w:rsid w:val="00620CCC"/>
    <w:rsid w:val="00621ED6"/>
    <w:rsid w:val="00622636"/>
    <w:rsid w:val="00623A35"/>
    <w:rsid w:val="006301EE"/>
    <w:rsid w:val="006315A4"/>
    <w:rsid w:val="00631876"/>
    <w:rsid w:val="006350D5"/>
    <w:rsid w:val="0063538C"/>
    <w:rsid w:val="0063696A"/>
    <w:rsid w:val="006370D2"/>
    <w:rsid w:val="006415A8"/>
    <w:rsid w:val="0064211E"/>
    <w:rsid w:val="00642968"/>
    <w:rsid w:val="00643BD1"/>
    <w:rsid w:val="006454C9"/>
    <w:rsid w:val="00645CDA"/>
    <w:rsid w:val="0064604E"/>
    <w:rsid w:val="0065052A"/>
    <w:rsid w:val="00651990"/>
    <w:rsid w:val="00652036"/>
    <w:rsid w:val="006538E8"/>
    <w:rsid w:val="006568F5"/>
    <w:rsid w:val="006570E4"/>
    <w:rsid w:val="00657B64"/>
    <w:rsid w:val="00660263"/>
    <w:rsid w:val="0066038C"/>
    <w:rsid w:val="00660D11"/>
    <w:rsid w:val="00662092"/>
    <w:rsid w:val="00662A46"/>
    <w:rsid w:val="00663469"/>
    <w:rsid w:val="00665371"/>
    <w:rsid w:val="00665570"/>
    <w:rsid w:val="00666686"/>
    <w:rsid w:val="00666C2A"/>
    <w:rsid w:val="00670382"/>
    <w:rsid w:val="00670589"/>
    <w:rsid w:val="00670B80"/>
    <w:rsid w:val="00672B19"/>
    <w:rsid w:val="00674F5B"/>
    <w:rsid w:val="00675E31"/>
    <w:rsid w:val="00680399"/>
    <w:rsid w:val="0068173C"/>
    <w:rsid w:val="00681E57"/>
    <w:rsid w:val="006858F5"/>
    <w:rsid w:val="0068652E"/>
    <w:rsid w:val="00686531"/>
    <w:rsid w:val="0068654C"/>
    <w:rsid w:val="00686C62"/>
    <w:rsid w:val="00687296"/>
    <w:rsid w:val="006875D3"/>
    <w:rsid w:val="006909F4"/>
    <w:rsid w:val="006918EF"/>
    <w:rsid w:val="0069198F"/>
    <w:rsid w:val="006921D2"/>
    <w:rsid w:val="00692E94"/>
    <w:rsid w:val="00693139"/>
    <w:rsid w:val="0069418C"/>
    <w:rsid w:val="00695E4B"/>
    <w:rsid w:val="00697957"/>
    <w:rsid w:val="006A3E4C"/>
    <w:rsid w:val="006A5FAB"/>
    <w:rsid w:val="006A7BF2"/>
    <w:rsid w:val="006B1344"/>
    <w:rsid w:val="006B2B56"/>
    <w:rsid w:val="006B2F66"/>
    <w:rsid w:val="006B3A37"/>
    <w:rsid w:val="006B508A"/>
    <w:rsid w:val="006B5300"/>
    <w:rsid w:val="006B56A8"/>
    <w:rsid w:val="006B6482"/>
    <w:rsid w:val="006B6E76"/>
    <w:rsid w:val="006B6F42"/>
    <w:rsid w:val="006C04F9"/>
    <w:rsid w:val="006C0C28"/>
    <w:rsid w:val="006C2CE3"/>
    <w:rsid w:val="006C40DF"/>
    <w:rsid w:val="006C512D"/>
    <w:rsid w:val="006C62AA"/>
    <w:rsid w:val="006C7100"/>
    <w:rsid w:val="006D0318"/>
    <w:rsid w:val="006D1110"/>
    <w:rsid w:val="006D132F"/>
    <w:rsid w:val="006D24AA"/>
    <w:rsid w:val="006D253C"/>
    <w:rsid w:val="006D2870"/>
    <w:rsid w:val="006D4B62"/>
    <w:rsid w:val="006D5E0A"/>
    <w:rsid w:val="006D782D"/>
    <w:rsid w:val="006E0FFA"/>
    <w:rsid w:val="006E2846"/>
    <w:rsid w:val="006E3CCA"/>
    <w:rsid w:val="006E4085"/>
    <w:rsid w:val="006E4741"/>
    <w:rsid w:val="006E4862"/>
    <w:rsid w:val="006E57EE"/>
    <w:rsid w:val="006E5A70"/>
    <w:rsid w:val="006E6326"/>
    <w:rsid w:val="006E6E5C"/>
    <w:rsid w:val="006E7194"/>
    <w:rsid w:val="006F39ED"/>
    <w:rsid w:val="006F3B84"/>
    <w:rsid w:val="006F3DEB"/>
    <w:rsid w:val="006F41AA"/>
    <w:rsid w:val="006F538B"/>
    <w:rsid w:val="00701067"/>
    <w:rsid w:val="00707A69"/>
    <w:rsid w:val="00707DCC"/>
    <w:rsid w:val="00710E39"/>
    <w:rsid w:val="00711AE4"/>
    <w:rsid w:val="00711BC4"/>
    <w:rsid w:val="0071204E"/>
    <w:rsid w:val="00714C3A"/>
    <w:rsid w:val="00714DFD"/>
    <w:rsid w:val="00720975"/>
    <w:rsid w:val="00720C86"/>
    <w:rsid w:val="00721B9A"/>
    <w:rsid w:val="00723074"/>
    <w:rsid w:val="00724A1A"/>
    <w:rsid w:val="00725FC2"/>
    <w:rsid w:val="00727369"/>
    <w:rsid w:val="00727809"/>
    <w:rsid w:val="00727C0C"/>
    <w:rsid w:val="00727EE6"/>
    <w:rsid w:val="00730D28"/>
    <w:rsid w:val="00732661"/>
    <w:rsid w:val="007326DC"/>
    <w:rsid w:val="00732E24"/>
    <w:rsid w:val="00733B9A"/>
    <w:rsid w:val="007357DA"/>
    <w:rsid w:val="0073651C"/>
    <w:rsid w:val="00736D92"/>
    <w:rsid w:val="00736FF7"/>
    <w:rsid w:val="00737313"/>
    <w:rsid w:val="007377AB"/>
    <w:rsid w:val="00737E05"/>
    <w:rsid w:val="007400FE"/>
    <w:rsid w:val="00742742"/>
    <w:rsid w:val="00743ED1"/>
    <w:rsid w:val="00743F3B"/>
    <w:rsid w:val="00744C79"/>
    <w:rsid w:val="007465A0"/>
    <w:rsid w:val="00746960"/>
    <w:rsid w:val="00746ACB"/>
    <w:rsid w:val="00746B89"/>
    <w:rsid w:val="00747232"/>
    <w:rsid w:val="007475BA"/>
    <w:rsid w:val="00747A62"/>
    <w:rsid w:val="00747FB6"/>
    <w:rsid w:val="00750097"/>
    <w:rsid w:val="007515DB"/>
    <w:rsid w:val="00754B8C"/>
    <w:rsid w:val="007561A9"/>
    <w:rsid w:val="00756CEC"/>
    <w:rsid w:val="00757DCF"/>
    <w:rsid w:val="00762DE0"/>
    <w:rsid w:val="0076460C"/>
    <w:rsid w:val="00764742"/>
    <w:rsid w:val="0076635A"/>
    <w:rsid w:val="00767961"/>
    <w:rsid w:val="00767C1A"/>
    <w:rsid w:val="00770308"/>
    <w:rsid w:val="007703A4"/>
    <w:rsid w:val="007735FE"/>
    <w:rsid w:val="00774552"/>
    <w:rsid w:val="00774B53"/>
    <w:rsid w:val="0077763D"/>
    <w:rsid w:val="00780616"/>
    <w:rsid w:val="00781026"/>
    <w:rsid w:val="00782020"/>
    <w:rsid w:val="0078290D"/>
    <w:rsid w:val="00790391"/>
    <w:rsid w:val="007941C5"/>
    <w:rsid w:val="0079420D"/>
    <w:rsid w:val="0079516D"/>
    <w:rsid w:val="00795319"/>
    <w:rsid w:val="00796C52"/>
    <w:rsid w:val="00796C77"/>
    <w:rsid w:val="007A1C1E"/>
    <w:rsid w:val="007A3175"/>
    <w:rsid w:val="007A6D24"/>
    <w:rsid w:val="007B022D"/>
    <w:rsid w:val="007B2AC4"/>
    <w:rsid w:val="007B335E"/>
    <w:rsid w:val="007B4BF9"/>
    <w:rsid w:val="007B55A9"/>
    <w:rsid w:val="007B5665"/>
    <w:rsid w:val="007B6EFA"/>
    <w:rsid w:val="007B7CD9"/>
    <w:rsid w:val="007C0F74"/>
    <w:rsid w:val="007C1A3C"/>
    <w:rsid w:val="007C4660"/>
    <w:rsid w:val="007C53E7"/>
    <w:rsid w:val="007C5434"/>
    <w:rsid w:val="007C5B96"/>
    <w:rsid w:val="007D1886"/>
    <w:rsid w:val="007D3893"/>
    <w:rsid w:val="007D39C8"/>
    <w:rsid w:val="007D5EBC"/>
    <w:rsid w:val="007D63FF"/>
    <w:rsid w:val="007D652D"/>
    <w:rsid w:val="007D6F76"/>
    <w:rsid w:val="007E0486"/>
    <w:rsid w:val="007E055A"/>
    <w:rsid w:val="007E08DC"/>
    <w:rsid w:val="007E0BD3"/>
    <w:rsid w:val="007E144D"/>
    <w:rsid w:val="007E2835"/>
    <w:rsid w:val="007E3708"/>
    <w:rsid w:val="007E3AC5"/>
    <w:rsid w:val="007E3FB3"/>
    <w:rsid w:val="007E5936"/>
    <w:rsid w:val="007E678D"/>
    <w:rsid w:val="007E723D"/>
    <w:rsid w:val="007F0954"/>
    <w:rsid w:val="007F5EB5"/>
    <w:rsid w:val="007F6174"/>
    <w:rsid w:val="00800459"/>
    <w:rsid w:val="00800688"/>
    <w:rsid w:val="00802B3C"/>
    <w:rsid w:val="008044F8"/>
    <w:rsid w:val="00805351"/>
    <w:rsid w:val="00805A32"/>
    <w:rsid w:val="00805B09"/>
    <w:rsid w:val="0080686B"/>
    <w:rsid w:val="00806AE4"/>
    <w:rsid w:val="00807553"/>
    <w:rsid w:val="0080789E"/>
    <w:rsid w:val="00810B10"/>
    <w:rsid w:val="00810C4E"/>
    <w:rsid w:val="00810C8A"/>
    <w:rsid w:val="00811566"/>
    <w:rsid w:val="00811EFC"/>
    <w:rsid w:val="0081227F"/>
    <w:rsid w:val="0081286B"/>
    <w:rsid w:val="00813D6F"/>
    <w:rsid w:val="008153C4"/>
    <w:rsid w:val="00815FCF"/>
    <w:rsid w:val="008169F3"/>
    <w:rsid w:val="0082053B"/>
    <w:rsid w:val="0082081C"/>
    <w:rsid w:val="008231F1"/>
    <w:rsid w:val="008246A5"/>
    <w:rsid w:val="00824781"/>
    <w:rsid w:val="0082631E"/>
    <w:rsid w:val="008264A3"/>
    <w:rsid w:val="00832597"/>
    <w:rsid w:val="00832B42"/>
    <w:rsid w:val="00834D40"/>
    <w:rsid w:val="008403D1"/>
    <w:rsid w:val="008408CB"/>
    <w:rsid w:val="00840AD7"/>
    <w:rsid w:val="00841061"/>
    <w:rsid w:val="00841F44"/>
    <w:rsid w:val="00842375"/>
    <w:rsid w:val="008424D5"/>
    <w:rsid w:val="00842AF3"/>
    <w:rsid w:val="0084393E"/>
    <w:rsid w:val="00843FD1"/>
    <w:rsid w:val="00844380"/>
    <w:rsid w:val="00845AE0"/>
    <w:rsid w:val="008504FD"/>
    <w:rsid w:val="00851947"/>
    <w:rsid w:val="00851CED"/>
    <w:rsid w:val="0085274B"/>
    <w:rsid w:val="00852BDD"/>
    <w:rsid w:val="00852D3D"/>
    <w:rsid w:val="008537D3"/>
    <w:rsid w:val="008540D8"/>
    <w:rsid w:val="00854A66"/>
    <w:rsid w:val="00855F45"/>
    <w:rsid w:val="008578F7"/>
    <w:rsid w:val="00860D2F"/>
    <w:rsid w:val="00860EA8"/>
    <w:rsid w:val="00861629"/>
    <w:rsid w:val="008624B2"/>
    <w:rsid w:val="00862CE1"/>
    <w:rsid w:val="00863A9B"/>
    <w:rsid w:val="00863AFB"/>
    <w:rsid w:val="00864E0B"/>
    <w:rsid w:val="0086566E"/>
    <w:rsid w:val="00866C56"/>
    <w:rsid w:val="00871C44"/>
    <w:rsid w:val="00871D5F"/>
    <w:rsid w:val="0087320A"/>
    <w:rsid w:val="00873796"/>
    <w:rsid w:val="0087480E"/>
    <w:rsid w:val="00875836"/>
    <w:rsid w:val="00880EE3"/>
    <w:rsid w:val="00881784"/>
    <w:rsid w:val="00881933"/>
    <w:rsid w:val="00881D55"/>
    <w:rsid w:val="00882169"/>
    <w:rsid w:val="00882DF8"/>
    <w:rsid w:val="00883902"/>
    <w:rsid w:val="008846A3"/>
    <w:rsid w:val="0088493F"/>
    <w:rsid w:val="00885097"/>
    <w:rsid w:val="00885282"/>
    <w:rsid w:val="008855F8"/>
    <w:rsid w:val="00885A82"/>
    <w:rsid w:val="00885C59"/>
    <w:rsid w:val="00887029"/>
    <w:rsid w:val="00890650"/>
    <w:rsid w:val="00891567"/>
    <w:rsid w:val="00891700"/>
    <w:rsid w:val="00891903"/>
    <w:rsid w:val="008919F2"/>
    <w:rsid w:val="00892BF2"/>
    <w:rsid w:val="00894DBA"/>
    <w:rsid w:val="00896856"/>
    <w:rsid w:val="00897EB7"/>
    <w:rsid w:val="008A1759"/>
    <w:rsid w:val="008A23C7"/>
    <w:rsid w:val="008A2743"/>
    <w:rsid w:val="008A2AC1"/>
    <w:rsid w:val="008A4222"/>
    <w:rsid w:val="008A500F"/>
    <w:rsid w:val="008A67AD"/>
    <w:rsid w:val="008A6DDE"/>
    <w:rsid w:val="008B03CB"/>
    <w:rsid w:val="008B2917"/>
    <w:rsid w:val="008B39AA"/>
    <w:rsid w:val="008B3AAB"/>
    <w:rsid w:val="008B50BA"/>
    <w:rsid w:val="008B52BE"/>
    <w:rsid w:val="008B55F0"/>
    <w:rsid w:val="008B6B62"/>
    <w:rsid w:val="008B6FE3"/>
    <w:rsid w:val="008C0F6D"/>
    <w:rsid w:val="008C241F"/>
    <w:rsid w:val="008C3ABD"/>
    <w:rsid w:val="008C5D50"/>
    <w:rsid w:val="008C6AD2"/>
    <w:rsid w:val="008D0497"/>
    <w:rsid w:val="008D0CDE"/>
    <w:rsid w:val="008D14F9"/>
    <w:rsid w:val="008D2FE8"/>
    <w:rsid w:val="008D377F"/>
    <w:rsid w:val="008D3EBB"/>
    <w:rsid w:val="008D42B0"/>
    <w:rsid w:val="008D60F5"/>
    <w:rsid w:val="008E1938"/>
    <w:rsid w:val="008E1A7D"/>
    <w:rsid w:val="008E2C76"/>
    <w:rsid w:val="008E3016"/>
    <w:rsid w:val="008E3294"/>
    <w:rsid w:val="008E5E50"/>
    <w:rsid w:val="008E5EE9"/>
    <w:rsid w:val="008E6FC9"/>
    <w:rsid w:val="008E7728"/>
    <w:rsid w:val="008F4751"/>
    <w:rsid w:val="008F4A86"/>
    <w:rsid w:val="008F51F0"/>
    <w:rsid w:val="008F689E"/>
    <w:rsid w:val="008F6E98"/>
    <w:rsid w:val="008F749B"/>
    <w:rsid w:val="008F7A41"/>
    <w:rsid w:val="0090476B"/>
    <w:rsid w:val="00904A84"/>
    <w:rsid w:val="00905BF6"/>
    <w:rsid w:val="00906A67"/>
    <w:rsid w:val="00910304"/>
    <w:rsid w:val="009116EA"/>
    <w:rsid w:val="00913C7B"/>
    <w:rsid w:val="00913C91"/>
    <w:rsid w:val="00914486"/>
    <w:rsid w:val="0091594E"/>
    <w:rsid w:val="00915B82"/>
    <w:rsid w:val="00917B3B"/>
    <w:rsid w:val="009231D8"/>
    <w:rsid w:val="00925D27"/>
    <w:rsid w:val="00926E3C"/>
    <w:rsid w:val="00930466"/>
    <w:rsid w:val="00930E62"/>
    <w:rsid w:val="009310A9"/>
    <w:rsid w:val="00931453"/>
    <w:rsid w:val="00931640"/>
    <w:rsid w:val="00932197"/>
    <w:rsid w:val="009334C1"/>
    <w:rsid w:val="00933664"/>
    <w:rsid w:val="00934D6D"/>
    <w:rsid w:val="00935E80"/>
    <w:rsid w:val="0093647E"/>
    <w:rsid w:val="00937CD6"/>
    <w:rsid w:val="00937F34"/>
    <w:rsid w:val="00941C63"/>
    <w:rsid w:val="00942936"/>
    <w:rsid w:val="00942A07"/>
    <w:rsid w:val="009440D0"/>
    <w:rsid w:val="00945E8F"/>
    <w:rsid w:val="00947BFA"/>
    <w:rsid w:val="00950F8B"/>
    <w:rsid w:val="00951D2D"/>
    <w:rsid w:val="00952C44"/>
    <w:rsid w:val="00952FA2"/>
    <w:rsid w:val="009532CB"/>
    <w:rsid w:val="009538A9"/>
    <w:rsid w:val="00953954"/>
    <w:rsid w:val="00956E8F"/>
    <w:rsid w:val="00957453"/>
    <w:rsid w:val="009576C6"/>
    <w:rsid w:val="00957764"/>
    <w:rsid w:val="00960C90"/>
    <w:rsid w:val="00960E6E"/>
    <w:rsid w:val="0096110D"/>
    <w:rsid w:val="009617A6"/>
    <w:rsid w:val="00961FC1"/>
    <w:rsid w:val="009638AA"/>
    <w:rsid w:val="00964223"/>
    <w:rsid w:val="009662D2"/>
    <w:rsid w:val="009679AE"/>
    <w:rsid w:val="00967BFA"/>
    <w:rsid w:val="009704DE"/>
    <w:rsid w:val="00970DAE"/>
    <w:rsid w:val="00970DE8"/>
    <w:rsid w:val="00971764"/>
    <w:rsid w:val="00972C1A"/>
    <w:rsid w:val="00972E75"/>
    <w:rsid w:val="00975CA0"/>
    <w:rsid w:val="0098054D"/>
    <w:rsid w:val="00980EE1"/>
    <w:rsid w:val="0098544B"/>
    <w:rsid w:val="00987869"/>
    <w:rsid w:val="00990D24"/>
    <w:rsid w:val="00990D95"/>
    <w:rsid w:val="00991028"/>
    <w:rsid w:val="009914EE"/>
    <w:rsid w:val="00991839"/>
    <w:rsid w:val="009931C0"/>
    <w:rsid w:val="009937D9"/>
    <w:rsid w:val="009938BE"/>
    <w:rsid w:val="00993D84"/>
    <w:rsid w:val="00995943"/>
    <w:rsid w:val="00995BD7"/>
    <w:rsid w:val="00996EF2"/>
    <w:rsid w:val="009A1006"/>
    <w:rsid w:val="009A1D2B"/>
    <w:rsid w:val="009A214F"/>
    <w:rsid w:val="009A263E"/>
    <w:rsid w:val="009A34E5"/>
    <w:rsid w:val="009A3B0B"/>
    <w:rsid w:val="009A497C"/>
    <w:rsid w:val="009A62FA"/>
    <w:rsid w:val="009A6C92"/>
    <w:rsid w:val="009A6D2C"/>
    <w:rsid w:val="009A7B77"/>
    <w:rsid w:val="009B0B83"/>
    <w:rsid w:val="009B1647"/>
    <w:rsid w:val="009B1EFF"/>
    <w:rsid w:val="009B28BE"/>
    <w:rsid w:val="009B406C"/>
    <w:rsid w:val="009B5320"/>
    <w:rsid w:val="009B53AF"/>
    <w:rsid w:val="009B655B"/>
    <w:rsid w:val="009B655F"/>
    <w:rsid w:val="009C0785"/>
    <w:rsid w:val="009C0C7D"/>
    <w:rsid w:val="009C2104"/>
    <w:rsid w:val="009C2146"/>
    <w:rsid w:val="009C229F"/>
    <w:rsid w:val="009C5A7D"/>
    <w:rsid w:val="009C6CA7"/>
    <w:rsid w:val="009C7BD8"/>
    <w:rsid w:val="009D0C6E"/>
    <w:rsid w:val="009D1BC2"/>
    <w:rsid w:val="009D1C7D"/>
    <w:rsid w:val="009D27D4"/>
    <w:rsid w:val="009D41A9"/>
    <w:rsid w:val="009D45FC"/>
    <w:rsid w:val="009D4B5D"/>
    <w:rsid w:val="009D6B55"/>
    <w:rsid w:val="009D6C63"/>
    <w:rsid w:val="009D7293"/>
    <w:rsid w:val="009D755D"/>
    <w:rsid w:val="009E1DD0"/>
    <w:rsid w:val="009E1E06"/>
    <w:rsid w:val="009E1FC4"/>
    <w:rsid w:val="009E4FE0"/>
    <w:rsid w:val="009E58C0"/>
    <w:rsid w:val="009F2BE4"/>
    <w:rsid w:val="009F2E13"/>
    <w:rsid w:val="009F56C7"/>
    <w:rsid w:val="009F670A"/>
    <w:rsid w:val="009F69A3"/>
    <w:rsid w:val="009F76C4"/>
    <w:rsid w:val="00A00A22"/>
    <w:rsid w:val="00A0123A"/>
    <w:rsid w:val="00A040F6"/>
    <w:rsid w:val="00A04601"/>
    <w:rsid w:val="00A051FD"/>
    <w:rsid w:val="00A061AF"/>
    <w:rsid w:val="00A069EC"/>
    <w:rsid w:val="00A10EB9"/>
    <w:rsid w:val="00A149DC"/>
    <w:rsid w:val="00A14E50"/>
    <w:rsid w:val="00A1593B"/>
    <w:rsid w:val="00A15A7A"/>
    <w:rsid w:val="00A16AD7"/>
    <w:rsid w:val="00A20DA8"/>
    <w:rsid w:val="00A2520F"/>
    <w:rsid w:val="00A278D8"/>
    <w:rsid w:val="00A27DF4"/>
    <w:rsid w:val="00A313D1"/>
    <w:rsid w:val="00A314AF"/>
    <w:rsid w:val="00A327C3"/>
    <w:rsid w:val="00A35A39"/>
    <w:rsid w:val="00A406DF"/>
    <w:rsid w:val="00A411E0"/>
    <w:rsid w:val="00A415A1"/>
    <w:rsid w:val="00A441A7"/>
    <w:rsid w:val="00A4443F"/>
    <w:rsid w:val="00A459B5"/>
    <w:rsid w:val="00A45A96"/>
    <w:rsid w:val="00A45D36"/>
    <w:rsid w:val="00A47C73"/>
    <w:rsid w:val="00A51D4B"/>
    <w:rsid w:val="00A5258C"/>
    <w:rsid w:val="00A529AB"/>
    <w:rsid w:val="00A5404D"/>
    <w:rsid w:val="00A56265"/>
    <w:rsid w:val="00A569E9"/>
    <w:rsid w:val="00A603B0"/>
    <w:rsid w:val="00A603DE"/>
    <w:rsid w:val="00A605F1"/>
    <w:rsid w:val="00A60C77"/>
    <w:rsid w:val="00A6125B"/>
    <w:rsid w:val="00A61397"/>
    <w:rsid w:val="00A62469"/>
    <w:rsid w:val="00A63274"/>
    <w:rsid w:val="00A6347F"/>
    <w:rsid w:val="00A65693"/>
    <w:rsid w:val="00A6621B"/>
    <w:rsid w:val="00A66B29"/>
    <w:rsid w:val="00A66B3C"/>
    <w:rsid w:val="00A673CF"/>
    <w:rsid w:val="00A67A8A"/>
    <w:rsid w:val="00A70222"/>
    <w:rsid w:val="00A70FD0"/>
    <w:rsid w:val="00A714F0"/>
    <w:rsid w:val="00A7230F"/>
    <w:rsid w:val="00A729F9"/>
    <w:rsid w:val="00A73915"/>
    <w:rsid w:val="00A73966"/>
    <w:rsid w:val="00A76D12"/>
    <w:rsid w:val="00A76D2A"/>
    <w:rsid w:val="00A80508"/>
    <w:rsid w:val="00A80E21"/>
    <w:rsid w:val="00A81709"/>
    <w:rsid w:val="00A843B5"/>
    <w:rsid w:val="00A84A3D"/>
    <w:rsid w:val="00A86132"/>
    <w:rsid w:val="00A90348"/>
    <w:rsid w:val="00A92D56"/>
    <w:rsid w:val="00A94178"/>
    <w:rsid w:val="00A94D14"/>
    <w:rsid w:val="00A952AB"/>
    <w:rsid w:val="00A958C5"/>
    <w:rsid w:val="00A95E66"/>
    <w:rsid w:val="00AA0BA0"/>
    <w:rsid w:val="00AA0D1C"/>
    <w:rsid w:val="00AA472D"/>
    <w:rsid w:val="00AB0353"/>
    <w:rsid w:val="00AB1E27"/>
    <w:rsid w:val="00AB2CAE"/>
    <w:rsid w:val="00AB38BC"/>
    <w:rsid w:val="00AB38F1"/>
    <w:rsid w:val="00AB3DD8"/>
    <w:rsid w:val="00AB4204"/>
    <w:rsid w:val="00AB4601"/>
    <w:rsid w:val="00AB63D9"/>
    <w:rsid w:val="00AB719B"/>
    <w:rsid w:val="00AB74E0"/>
    <w:rsid w:val="00AC03F0"/>
    <w:rsid w:val="00AC09E2"/>
    <w:rsid w:val="00AC143C"/>
    <w:rsid w:val="00AC277A"/>
    <w:rsid w:val="00AC43FB"/>
    <w:rsid w:val="00AC5AB3"/>
    <w:rsid w:val="00AC625B"/>
    <w:rsid w:val="00AC656C"/>
    <w:rsid w:val="00AC754F"/>
    <w:rsid w:val="00AC7587"/>
    <w:rsid w:val="00AD26C9"/>
    <w:rsid w:val="00AD6871"/>
    <w:rsid w:val="00AE0B8B"/>
    <w:rsid w:val="00AE16F7"/>
    <w:rsid w:val="00AE5220"/>
    <w:rsid w:val="00AE5D84"/>
    <w:rsid w:val="00AE67A7"/>
    <w:rsid w:val="00AE7373"/>
    <w:rsid w:val="00AE7DB4"/>
    <w:rsid w:val="00AF149E"/>
    <w:rsid w:val="00AF1F45"/>
    <w:rsid w:val="00AF2D83"/>
    <w:rsid w:val="00AF3B44"/>
    <w:rsid w:val="00AF4D5A"/>
    <w:rsid w:val="00AF61B4"/>
    <w:rsid w:val="00AF655C"/>
    <w:rsid w:val="00AF69DE"/>
    <w:rsid w:val="00AF74D6"/>
    <w:rsid w:val="00B01FB1"/>
    <w:rsid w:val="00B0379A"/>
    <w:rsid w:val="00B0392D"/>
    <w:rsid w:val="00B100AF"/>
    <w:rsid w:val="00B10AB4"/>
    <w:rsid w:val="00B11197"/>
    <w:rsid w:val="00B129BF"/>
    <w:rsid w:val="00B12FB4"/>
    <w:rsid w:val="00B14109"/>
    <w:rsid w:val="00B1499B"/>
    <w:rsid w:val="00B17004"/>
    <w:rsid w:val="00B171BF"/>
    <w:rsid w:val="00B17442"/>
    <w:rsid w:val="00B26BA8"/>
    <w:rsid w:val="00B271B4"/>
    <w:rsid w:val="00B3203A"/>
    <w:rsid w:val="00B323D8"/>
    <w:rsid w:val="00B333F4"/>
    <w:rsid w:val="00B33A79"/>
    <w:rsid w:val="00B33D3C"/>
    <w:rsid w:val="00B3473D"/>
    <w:rsid w:val="00B366EE"/>
    <w:rsid w:val="00B37112"/>
    <w:rsid w:val="00B375D6"/>
    <w:rsid w:val="00B37FA7"/>
    <w:rsid w:val="00B4332D"/>
    <w:rsid w:val="00B435DA"/>
    <w:rsid w:val="00B43A4D"/>
    <w:rsid w:val="00B43D07"/>
    <w:rsid w:val="00B44AF6"/>
    <w:rsid w:val="00B46BE7"/>
    <w:rsid w:val="00B471D9"/>
    <w:rsid w:val="00B474D3"/>
    <w:rsid w:val="00B47E8C"/>
    <w:rsid w:val="00B47FAD"/>
    <w:rsid w:val="00B50929"/>
    <w:rsid w:val="00B51B42"/>
    <w:rsid w:val="00B51C87"/>
    <w:rsid w:val="00B527F8"/>
    <w:rsid w:val="00B54A30"/>
    <w:rsid w:val="00B60F4D"/>
    <w:rsid w:val="00B63F6E"/>
    <w:rsid w:val="00B642E9"/>
    <w:rsid w:val="00B65A5F"/>
    <w:rsid w:val="00B663E3"/>
    <w:rsid w:val="00B66F68"/>
    <w:rsid w:val="00B6704F"/>
    <w:rsid w:val="00B67D14"/>
    <w:rsid w:val="00B7109F"/>
    <w:rsid w:val="00B763CF"/>
    <w:rsid w:val="00B77764"/>
    <w:rsid w:val="00B82CFF"/>
    <w:rsid w:val="00B83959"/>
    <w:rsid w:val="00B84617"/>
    <w:rsid w:val="00B84DE8"/>
    <w:rsid w:val="00B851DF"/>
    <w:rsid w:val="00B87508"/>
    <w:rsid w:val="00B87582"/>
    <w:rsid w:val="00B92F4A"/>
    <w:rsid w:val="00B951DD"/>
    <w:rsid w:val="00B963DB"/>
    <w:rsid w:val="00B96480"/>
    <w:rsid w:val="00B96760"/>
    <w:rsid w:val="00B96C83"/>
    <w:rsid w:val="00BA15B7"/>
    <w:rsid w:val="00BA1C44"/>
    <w:rsid w:val="00BA2B99"/>
    <w:rsid w:val="00BA546E"/>
    <w:rsid w:val="00BA5F60"/>
    <w:rsid w:val="00BA7D5E"/>
    <w:rsid w:val="00BB1556"/>
    <w:rsid w:val="00BB3538"/>
    <w:rsid w:val="00BB4947"/>
    <w:rsid w:val="00BC0054"/>
    <w:rsid w:val="00BC250E"/>
    <w:rsid w:val="00BC3396"/>
    <w:rsid w:val="00BC4021"/>
    <w:rsid w:val="00BC410B"/>
    <w:rsid w:val="00BC5C01"/>
    <w:rsid w:val="00BC665B"/>
    <w:rsid w:val="00BC6ABD"/>
    <w:rsid w:val="00BC6E01"/>
    <w:rsid w:val="00BD0E07"/>
    <w:rsid w:val="00BD162B"/>
    <w:rsid w:val="00BD275F"/>
    <w:rsid w:val="00BD29A9"/>
    <w:rsid w:val="00BD2DA9"/>
    <w:rsid w:val="00BD40AF"/>
    <w:rsid w:val="00BD452B"/>
    <w:rsid w:val="00BD5B16"/>
    <w:rsid w:val="00BD5ECD"/>
    <w:rsid w:val="00BD66FA"/>
    <w:rsid w:val="00BD6F2F"/>
    <w:rsid w:val="00BD71F4"/>
    <w:rsid w:val="00BD7E64"/>
    <w:rsid w:val="00BE041C"/>
    <w:rsid w:val="00BE1911"/>
    <w:rsid w:val="00BE48B1"/>
    <w:rsid w:val="00BE48C5"/>
    <w:rsid w:val="00BE5737"/>
    <w:rsid w:val="00BF1485"/>
    <w:rsid w:val="00BF19E3"/>
    <w:rsid w:val="00BF2300"/>
    <w:rsid w:val="00BF2555"/>
    <w:rsid w:val="00BF2AE2"/>
    <w:rsid w:val="00BF318B"/>
    <w:rsid w:val="00BF472F"/>
    <w:rsid w:val="00BF4D73"/>
    <w:rsid w:val="00BF561E"/>
    <w:rsid w:val="00BF6C03"/>
    <w:rsid w:val="00C001ED"/>
    <w:rsid w:val="00C01013"/>
    <w:rsid w:val="00C0138F"/>
    <w:rsid w:val="00C0358A"/>
    <w:rsid w:val="00C0614D"/>
    <w:rsid w:val="00C06A0D"/>
    <w:rsid w:val="00C10ABA"/>
    <w:rsid w:val="00C12360"/>
    <w:rsid w:val="00C12F27"/>
    <w:rsid w:val="00C1363C"/>
    <w:rsid w:val="00C13721"/>
    <w:rsid w:val="00C17172"/>
    <w:rsid w:val="00C17B2A"/>
    <w:rsid w:val="00C20633"/>
    <w:rsid w:val="00C215CF"/>
    <w:rsid w:val="00C231E0"/>
    <w:rsid w:val="00C23997"/>
    <w:rsid w:val="00C24B09"/>
    <w:rsid w:val="00C2539F"/>
    <w:rsid w:val="00C315A7"/>
    <w:rsid w:val="00C32FF4"/>
    <w:rsid w:val="00C339E2"/>
    <w:rsid w:val="00C34DD6"/>
    <w:rsid w:val="00C36443"/>
    <w:rsid w:val="00C373CD"/>
    <w:rsid w:val="00C422D4"/>
    <w:rsid w:val="00C42C05"/>
    <w:rsid w:val="00C43349"/>
    <w:rsid w:val="00C4334B"/>
    <w:rsid w:val="00C43F15"/>
    <w:rsid w:val="00C46136"/>
    <w:rsid w:val="00C466AD"/>
    <w:rsid w:val="00C51A52"/>
    <w:rsid w:val="00C51A84"/>
    <w:rsid w:val="00C51F08"/>
    <w:rsid w:val="00C5233A"/>
    <w:rsid w:val="00C5243F"/>
    <w:rsid w:val="00C52569"/>
    <w:rsid w:val="00C5262F"/>
    <w:rsid w:val="00C52E94"/>
    <w:rsid w:val="00C6242B"/>
    <w:rsid w:val="00C628CC"/>
    <w:rsid w:val="00C63AA7"/>
    <w:rsid w:val="00C65A11"/>
    <w:rsid w:val="00C71676"/>
    <w:rsid w:val="00C72555"/>
    <w:rsid w:val="00C72EEF"/>
    <w:rsid w:val="00C756FB"/>
    <w:rsid w:val="00C75BE9"/>
    <w:rsid w:val="00C77C66"/>
    <w:rsid w:val="00C77D7E"/>
    <w:rsid w:val="00C80E6E"/>
    <w:rsid w:val="00C81690"/>
    <w:rsid w:val="00C81816"/>
    <w:rsid w:val="00C8198C"/>
    <w:rsid w:val="00C82059"/>
    <w:rsid w:val="00C82FD2"/>
    <w:rsid w:val="00C856E1"/>
    <w:rsid w:val="00C86778"/>
    <w:rsid w:val="00C86F5E"/>
    <w:rsid w:val="00C87545"/>
    <w:rsid w:val="00C87919"/>
    <w:rsid w:val="00C90BC9"/>
    <w:rsid w:val="00C91775"/>
    <w:rsid w:val="00C92331"/>
    <w:rsid w:val="00C942E7"/>
    <w:rsid w:val="00C946CE"/>
    <w:rsid w:val="00C94EFF"/>
    <w:rsid w:val="00C9693B"/>
    <w:rsid w:val="00C9763C"/>
    <w:rsid w:val="00CA07A8"/>
    <w:rsid w:val="00CA088A"/>
    <w:rsid w:val="00CA1D8D"/>
    <w:rsid w:val="00CA2052"/>
    <w:rsid w:val="00CA274C"/>
    <w:rsid w:val="00CA28AB"/>
    <w:rsid w:val="00CA2C83"/>
    <w:rsid w:val="00CA4690"/>
    <w:rsid w:val="00CA4A69"/>
    <w:rsid w:val="00CA4DD4"/>
    <w:rsid w:val="00CA5135"/>
    <w:rsid w:val="00CA7BED"/>
    <w:rsid w:val="00CB12D5"/>
    <w:rsid w:val="00CB16BA"/>
    <w:rsid w:val="00CB1DD3"/>
    <w:rsid w:val="00CB1EFA"/>
    <w:rsid w:val="00CB2BE3"/>
    <w:rsid w:val="00CB3018"/>
    <w:rsid w:val="00CB302D"/>
    <w:rsid w:val="00CB3CC8"/>
    <w:rsid w:val="00CB5C04"/>
    <w:rsid w:val="00CB62CC"/>
    <w:rsid w:val="00CB726A"/>
    <w:rsid w:val="00CB7AD5"/>
    <w:rsid w:val="00CC1138"/>
    <w:rsid w:val="00CC24B0"/>
    <w:rsid w:val="00CC2804"/>
    <w:rsid w:val="00CC2A83"/>
    <w:rsid w:val="00CC3626"/>
    <w:rsid w:val="00CC480E"/>
    <w:rsid w:val="00CC578A"/>
    <w:rsid w:val="00CD08F4"/>
    <w:rsid w:val="00CD31D1"/>
    <w:rsid w:val="00CD3644"/>
    <w:rsid w:val="00CD3EDE"/>
    <w:rsid w:val="00CD5642"/>
    <w:rsid w:val="00CD62E9"/>
    <w:rsid w:val="00CD670F"/>
    <w:rsid w:val="00CE09C9"/>
    <w:rsid w:val="00CE0A27"/>
    <w:rsid w:val="00CE0DA8"/>
    <w:rsid w:val="00CE115E"/>
    <w:rsid w:val="00CE17F7"/>
    <w:rsid w:val="00CE1EEE"/>
    <w:rsid w:val="00CE202A"/>
    <w:rsid w:val="00CE4767"/>
    <w:rsid w:val="00CE4CBD"/>
    <w:rsid w:val="00CE70AC"/>
    <w:rsid w:val="00CE78F6"/>
    <w:rsid w:val="00CE7B9E"/>
    <w:rsid w:val="00CF0965"/>
    <w:rsid w:val="00CF166A"/>
    <w:rsid w:val="00CF1BEC"/>
    <w:rsid w:val="00CF2888"/>
    <w:rsid w:val="00CF3E5C"/>
    <w:rsid w:val="00CF4629"/>
    <w:rsid w:val="00CF4BF8"/>
    <w:rsid w:val="00CF53CF"/>
    <w:rsid w:val="00CF550A"/>
    <w:rsid w:val="00CF570C"/>
    <w:rsid w:val="00CF58F5"/>
    <w:rsid w:val="00CF5CE5"/>
    <w:rsid w:val="00CF601D"/>
    <w:rsid w:val="00D0138C"/>
    <w:rsid w:val="00D02985"/>
    <w:rsid w:val="00D03350"/>
    <w:rsid w:val="00D051F8"/>
    <w:rsid w:val="00D0550B"/>
    <w:rsid w:val="00D05815"/>
    <w:rsid w:val="00D05B3F"/>
    <w:rsid w:val="00D05E4D"/>
    <w:rsid w:val="00D061A7"/>
    <w:rsid w:val="00D0641D"/>
    <w:rsid w:val="00D06CF0"/>
    <w:rsid w:val="00D10D99"/>
    <w:rsid w:val="00D11789"/>
    <w:rsid w:val="00D118F0"/>
    <w:rsid w:val="00D1249C"/>
    <w:rsid w:val="00D13B99"/>
    <w:rsid w:val="00D15629"/>
    <w:rsid w:val="00D17808"/>
    <w:rsid w:val="00D2111E"/>
    <w:rsid w:val="00D22387"/>
    <w:rsid w:val="00D2260E"/>
    <w:rsid w:val="00D2348B"/>
    <w:rsid w:val="00D24A3A"/>
    <w:rsid w:val="00D250CD"/>
    <w:rsid w:val="00D2537F"/>
    <w:rsid w:val="00D256BC"/>
    <w:rsid w:val="00D26285"/>
    <w:rsid w:val="00D26673"/>
    <w:rsid w:val="00D269B7"/>
    <w:rsid w:val="00D27E04"/>
    <w:rsid w:val="00D32817"/>
    <w:rsid w:val="00D332C6"/>
    <w:rsid w:val="00D358FC"/>
    <w:rsid w:val="00D35FF7"/>
    <w:rsid w:val="00D36DB5"/>
    <w:rsid w:val="00D371FF"/>
    <w:rsid w:val="00D3766A"/>
    <w:rsid w:val="00D41C40"/>
    <w:rsid w:val="00D443E8"/>
    <w:rsid w:val="00D44CC5"/>
    <w:rsid w:val="00D45198"/>
    <w:rsid w:val="00D45DDB"/>
    <w:rsid w:val="00D47111"/>
    <w:rsid w:val="00D4766F"/>
    <w:rsid w:val="00D47BD5"/>
    <w:rsid w:val="00D51D29"/>
    <w:rsid w:val="00D51E5C"/>
    <w:rsid w:val="00D54EBA"/>
    <w:rsid w:val="00D56858"/>
    <w:rsid w:val="00D56CE2"/>
    <w:rsid w:val="00D57340"/>
    <w:rsid w:val="00D608FE"/>
    <w:rsid w:val="00D609A2"/>
    <w:rsid w:val="00D61704"/>
    <w:rsid w:val="00D64E76"/>
    <w:rsid w:val="00D6504A"/>
    <w:rsid w:val="00D65C17"/>
    <w:rsid w:val="00D67659"/>
    <w:rsid w:val="00D67A44"/>
    <w:rsid w:val="00D73E01"/>
    <w:rsid w:val="00D742FC"/>
    <w:rsid w:val="00D76749"/>
    <w:rsid w:val="00D80DD9"/>
    <w:rsid w:val="00D85FA6"/>
    <w:rsid w:val="00D86666"/>
    <w:rsid w:val="00D901AE"/>
    <w:rsid w:val="00D91404"/>
    <w:rsid w:val="00D91F9A"/>
    <w:rsid w:val="00D92237"/>
    <w:rsid w:val="00D93052"/>
    <w:rsid w:val="00D95593"/>
    <w:rsid w:val="00D97FDD"/>
    <w:rsid w:val="00DA0E82"/>
    <w:rsid w:val="00DA1067"/>
    <w:rsid w:val="00DA1734"/>
    <w:rsid w:val="00DA1FE1"/>
    <w:rsid w:val="00DA2990"/>
    <w:rsid w:val="00DA2B4B"/>
    <w:rsid w:val="00DA3841"/>
    <w:rsid w:val="00DA4436"/>
    <w:rsid w:val="00DA477F"/>
    <w:rsid w:val="00DA4840"/>
    <w:rsid w:val="00DA7D17"/>
    <w:rsid w:val="00DA7E7A"/>
    <w:rsid w:val="00DB021E"/>
    <w:rsid w:val="00DB0A8C"/>
    <w:rsid w:val="00DB2644"/>
    <w:rsid w:val="00DB2AA4"/>
    <w:rsid w:val="00DB3742"/>
    <w:rsid w:val="00DB3832"/>
    <w:rsid w:val="00DB4319"/>
    <w:rsid w:val="00DB4C2C"/>
    <w:rsid w:val="00DB5486"/>
    <w:rsid w:val="00DB670E"/>
    <w:rsid w:val="00DB6AD6"/>
    <w:rsid w:val="00DB76C1"/>
    <w:rsid w:val="00DC0D6C"/>
    <w:rsid w:val="00DC127D"/>
    <w:rsid w:val="00DC1992"/>
    <w:rsid w:val="00DC1B7B"/>
    <w:rsid w:val="00DC489E"/>
    <w:rsid w:val="00DC4C8F"/>
    <w:rsid w:val="00DC56B5"/>
    <w:rsid w:val="00DC74EC"/>
    <w:rsid w:val="00DD039E"/>
    <w:rsid w:val="00DD10E6"/>
    <w:rsid w:val="00DD1670"/>
    <w:rsid w:val="00DD20C8"/>
    <w:rsid w:val="00DD2C8A"/>
    <w:rsid w:val="00DD72F8"/>
    <w:rsid w:val="00DE04B2"/>
    <w:rsid w:val="00DE48C4"/>
    <w:rsid w:val="00DE5F44"/>
    <w:rsid w:val="00DE636C"/>
    <w:rsid w:val="00DE66C7"/>
    <w:rsid w:val="00DF0A07"/>
    <w:rsid w:val="00DF19C1"/>
    <w:rsid w:val="00DF1E0A"/>
    <w:rsid w:val="00DF211D"/>
    <w:rsid w:val="00DF2947"/>
    <w:rsid w:val="00DF3DC2"/>
    <w:rsid w:val="00E0029D"/>
    <w:rsid w:val="00E007CC"/>
    <w:rsid w:val="00E00D44"/>
    <w:rsid w:val="00E016BF"/>
    <w:rsid w:val="00E022F7"/>
    <w:rsid w:val="00E03985"/>
    <w:rsid w:val="00E03E75"/>
    <w:rsid w:val="00E0519F"/>
    <w:rsid w:val="00E0594B"/>
    <w:rsid w:val="00E121E8"/>
    <w:rsid w:val="00E1436B"/>
    <w:rsid w:val="00E14C0C"/>
    <w:rsid w:val="00E14D60"/>
    <w:rsid w:val="00E169A0"/>
    <w:rsid w:val="00E218CE"/>
    <w:rsid w:val="00E22F15"/>
    <w:rsid w:val="00E23EA4"/>
    <w:rsid w:val="00E256FA"/>
    <w:rsid w:val="00E25CA0"/>
    <w:rsid w:val="00E25CDB"/>
    <w:rsid w:val="00E26931"/>
    <w:rsid w:val="00E26A1C"/>
    <w:rsid w:val="00E30068"/>
    <w:rsid w:val="00E30EA7"/>
    <w:rsid w:val="00E31D80"/>
    <w:rsid w:val="00E34E84"/>
    <w:rsid w:val="00E41E9D"/>
    <w:rsid w:val="00E42345"/>
    <w:rsid w:val="00E425BD"/>
    <w:rsid w:val="00E427E9"/>
    <w:rsid w:val="00E42FA6"/>
    <w:rsid w:val="00E44755"/>
    <w:rsid w:val="00E44EE5"/>
    <w:rsid w:val="00E4688A"/>
    <w:rsid w:val="00E47686"/>
    <w:rsid w:val="00E55A3A"/>
    <w:rsid w:val="00E55B80"/>
    <w:rsid w:val="00E603EB"/>
    <w:rsid w:val="00E60BA1"/>
    <w:rsid w:val="00E617BD"/>
    <w:rsid w:val="00E61991"/>
    <w:rsid w:val="00E61F8C"/>
    <w:rsid w:val="00E6257D"/>
    <w:rsid w:val="00E64450"/>
    <w:rsid w:val="00E64CB8"/>
    <w:rsid w:val="00E65357"/>
    <w:rsid w:val="00E65477"/>
    <w:rsid w:val="00E65A5F"/>
    <w:rsid w:val="00E67B1E"/>
    <w:rsid w:val="00E710DD"/>
    <w:rsid w:val="00E71438"/>
    <w:rsid w:val="00E7215A"/>
    <w:rsid w:val="00E734A9"/>
    <w:rsid w:val="00E749D5"/>
    <w:rsid w:val="00E75A04"/>
    <w:rsid w:val="00E75B7B"/>
    <w:rsid w:val="00E75F0F"/>
    <w:rsid w:val="00E76437"/>
    <w:rsid w:val="00E8282B"/>
    <w:rsid w:val="00E851BD"/>
    <w:rsid w:val="00E85D92"/>
    <w:rsid w:val="00E86E92"/>
    <w:rsid w:val="00E8731E"/>
    <w:rsid w:val="00E9026D"/>
    <w:rsid w:val="00E9078A"/>
    <w:rsid w:val="00E918C4"/>
    <w:rsid w:val="00E93F66"/>
    <w:rsid w:val="00E976FF"/>
    <w:rsid w:val="00EA48F4"/>
    <w:rsid w:val="00EA4BDB"/>
    <w:rsid w:val="00EA6502"/>
    <w:rsid w:val="00EA7241"/>
    <w:rsid w:val="00EB0A00"/>
    <w:rsid w:val="00EB42D5"/>
    <w:rsid w:val="00EB461A"/>
    <w:rsid w:val="00EB4763"/>
    <w:rsid w:val="00EB62E3"/>
    <w:rsid w:val="00EB7098"/>
    <w:rsid w:val="00EB7854"/>
    <w:rsid w:val="00EB7DDA"/>
    <w:rsid w:val="00EC6C14"/>
    <w:rsid w:val="00EC7302"/>
    <w:rsid w:val="00EC7D48"/>
    <w:rsid w:val="00ED24F1"/>
    <w:rsid w:val="00ED44B6"/>
    <w:rsid w:val="00ED50DD"/>
    <w:rsid w:val="00EE0CAD"/>
    <w:rsid w:val="00EE1C71"/>
    <w:rsid w:val="00EE38CB"/>
    <w:rsid w:val="00EE50B4"/>
    <w:rsid w:val="00EE50E0"/>
    <w:rsid w:val="00EE52B4"/>
    <w:rsid w:val="00EE573B"/>
    <w:rsid w:val="00EE7580"/>
    <w:rsid w:val="00EF006A"/>
    <w:rsid w:val="00EF07AF"/>
    <w:rsid w:val="00EF15C6"/>
    <w:rsid w:val="00EF314F"/>
    <w:rsid w:val="00EF329F"/>
    <w:rsid w:val="00EF79FD"/>
    <w:rsid w:val="00F00ADA"/>
    <w:rsid w:val="00F00F95"/>
    <w:rsid w:val="00F01953"/>
    <w:rsid w:val="00F01EF8"/>
    <w:rsid w:val="00F0269B"/>
    <w:rsid w:val="00F05666"/>
    <w:rsid w:val="00F118DF"/>
    <w:rsid w:val="00F12A14"/>
    <w:rsid w:val="00F14550"/>
    <w:rsid w:val="00F149FA"/>
    <w:rsid w:val="00F162E2"/>
    <w:rsid w:val="00F17B2B"/>
    <w:rsid w:val="00F20318"/>
    <w:rsid w:val="00F21F20"/>
    <w:rsid w:val="00F22829"/>
    <w:rsid w:val="00F233FF"/>
    <w:rsid w:val="00F23558"/>
    <w:rsid w:val="00F23B0E"/>
    <w:rsid w:val="00F27543"/>
    <w:rsid w:val="00F30670"/>
    <w:rsid w:val="00F32A9E"/>
    <w:rsid w:val="00F32EDC"/>
    <w:rsid w:val="00F33319"/>
    <w:rsid w:val="00F34A5E"/>
    <w:rsid w:val="00F363E1"/>
    <w:rsid w:val="00F37EF0"/>
    <w:rsid w:val="00F404FA"/>
    <w:rsid w:val="00F41B30"/>
    <w:rsid w:val="00F42C62"/>
    <w:rsid w:val="00F430C9"/>
    <w:rsid w:val="00F4336E"/>
    <w:rsid w:val="00F44091"/>
    <w:rsid w:val="00F441D9"/>
    <w:rsid w:val="00F4519B"/>
    <w:rsid w:val="00F50827"/>
    <w:rsid w:val="00F510BA"/>
    <w:rsid w:val="00F523CB"/>
    <w:rsid w:val="00F52CEC"/>
    <w:rsid w:val="00F538EA"/>
    <w:rsid w:val="00F54EA9"/>
    <w:rsid w:val="00F5520B"/>
    <w:rsid w:val="00F56059"/>
    <w:rsid w:val="00F563AE"/>
    <w:rsid w:val="00F56834"/>
    <w:rsid w:val="00F601B9"/>
    <w:rsid w:val="00F622A0"/>
    <w:rsid w:val="00F63DF0"/>
    <w:rsid w:val="00F6559D"/>
    <w:rsid w:val="00F665D9"/>
    <w:rsid w:val="00F6720E"/>
    <w:rsid w:val="00F7027F"/>
    <w:rsid w:val="00F710D0"/>
    <w:rsid w:val="00F7124F"/>
    <w:rsid w:val="00F7147B"/>
    <w:rsid w:val="00F71F8A"/>
    <w:rsid w:val="00F73F2A"/>
    <w:rsid w:val="00F74B69"/>
    <w:rsid w:val="00F75527"/>
    <w:rsid w:val="00F75F39"/>
    <w:rsid w:val="00F7615D"/>
    <w:rsid w:val="00F76E24"/>
    <w:rsid w:val="00F82489"/>
    <w:rsid w:val="00F82D9A"/>
    <w:rsid w:val="00F8393C"/>
    <w:rsid w:val="00F84D9D"/>
    <w:rsid w:val="00F86487"/>
    <w:rsid w:val="00F87032"/>
    <w:rsid w:val="00F90259"/>
    <w:rsid w:val="00F90785"/>
    <w:rsid w:val="00F90CDF"/>
    <w:rsid w:val="00F91E08"/>
    <w:rsid w:val="00F91ED8"/>
    <w:rsid w:val="00F93A84"/>
    <w:rsid w:val="00F97B1E"/>
    <w:rsid w:val="00FA0918"/>
    <w:rsid w:val="00FA0D1B"/>
    <w:rsid w:val="00FA44DC"/>
    <w:rsid w:val="00FA4A7D"/>
    <w:rsid w:val="00FA6D5D"/>
    <w:rsid w:val="00FA727F"/>
    <w:rsid w:val="00FA750F"/>
    <w:rsid w:val="00FB4642"/>
    <w:rsid w:val="00FB5FDF"/>
    <w:rsid w:val="00FB63DB"/>
    <w:rsid w:val="00FB6BB9"/>
    <w:rsid w:val="00FB6BD2"/>
    <w:rsid w:val="00FC10FA"/>
    <w:rsid w:val="00FC60F1"/>
    <w:rsid w:val="00FC72A5"/>
    <w:rsid w:val="00FD0154"/>
    <w:rsid w:val="00FD0388"/>
    <w:rsid w:val="00FD0B2B"/>
    <w:rsid w:val="00FD15D0"/>
    <w:rsid w:val="00FD1935"/>
    <w:rsid w:val="00FD2F72"/>
    <w:rsid w:val="00FD37DC"/>
    <w:rsid w:val="00FD3B2C"/>
    <w:rsid w:val="00FD55B0"/>
    <w:rsid w:val="00FD5A73"/>
    <w:rsid w:val="00FD5BE7"/>
    <w:rsid w:val="00FE1FB8"/>
    <w:rsid w:val="00FE2962"/>
    <w:rsid w:val="00FE3868"/>
    <w:rsid w:val="00FE39F6"/>
    <w:rsid w:val="00FE3DCE"/>
    <w:rsid w:val="00FE4BA0"/>
    <w:rsid w:val="00FE68FB"/>
    <w:rsid w:val="00FF0664"/>
    <w:rsid w:val="00FF2468"/>
    <w:rsid w:val="00FF25DE"/>
    <w:rsid w:val="00FF289E"/>
    <w:rsid w:val="00FF3859"/>
    <w:rsid w:val="00FF5033"/>
    <w:rsid w:val="00FF505D"/>
    <w:rsid w:val="00FF5455"/>
    <w:rsid w:val="00FF6F78"/>
    <w:rsid w:val="00FF7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Body Text" w:semiHidden="0" w:unhideWhenUsed="0"/>
    <w:lsdException w:name="Subtitle" w:semiHidden="0" w:unhideWhenUsed="0" w:qFormat="1"/>
    <w:lsdException w:name="Body Text Indent 2" w:qFormat="1"/>
    <w:lsdException w:name="Hyperlink" w:semiHidden="0"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120" w:after="120"/>
      <w:jc w:val="both"/>
    </w:pPr>
    <w:rPr>
      <w:rFonts w:eastAsia="仿宋"/>
      <w:kern w:val="2"/>
      <w:sz w:val="24"/>
    </w:rPr>
  </w:style>
  <w:style w:type="paragraph" w:styleId="1">
    <w:name w:val="heading 1"/>
    <w:basedOn w:val="a0"/>
    <w:next w:val="a0"/>
    <w:link w:val="1Char"/>
    <w:uiPriority w:val="9"/>
    <w:qFormat/>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unhideWhenUsed/>
    <w:rPr>
      <w:b/>
      <w:bCs/>
    </w:rPr>
  </w:style>
  <w:style w:type="paragraph" w:styleId="a5">
    <w:name w:val="annotation text"/>
    <w:basedOn w:val="a0"/>
    <w:link w:val="Char0"/>
    <w:uiPriority w:val="99"/>
    <w:unhideWhenUsed/>
    <w:qFormat/>
    <w:pPr>
      <w:jc w:val="left"/>
    </w:pPr>
  </w:style>
  <w:style w:type="paragraph" w:styleId="a6">
    <w:name w:val="Document Map"/>
    <w:basedOn w:val="a0"/>
    <w:link w:val="Char1"/>
    <w:unhideWhenUsed/>
    <w:qFormat/>
    <w:rPr>
      <w:rFonts w:ascii="Heiti SC Light" w:eastAsia="Heiti SC Light"/>
      <w:szCs w:val="24"/>
    </w:rPr>
  </w:style>
  <w:style w:type="paragraph" w:styleId="a7">
    <w:name w:val="Body Text"/>
    <w:basedOn w:val="a0"/>
    <w:link w:val="Char2"/>
    <w:pPr>
      <w:spacing w:before="0"/>
    </w:pPr>
    <w:rPr>
      <w:rFonts w:eastAsia="方正仿宋简体"/>
      <w:sz w:val="32"/>
    </w:rPr>
  </w:style>
  <w:style w:type="paragraph" w:styleId="30">
    <w:name w:val="toc 3"/>
    <w:basedOn w:val="a0"/>
    <w:next w:val="a0"/>
    <w:uiPriority w:val="39"/>
    <w:unhideWhenUsed/>
    <w:qFormat/>
    <w:pPr>
      <w:widowControl/>
      <w:spacing w:before="0"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0"/>
    <w:link w:val="2Char"/>
    <w:unhideWhenUsed/>
    <w:qFormat/>
    <w:pPr>
      <w:spacing w:line="480" w:lineRule="auto"/>
      <w:ind w:leftChars="200" w:left="420"/>
    </w:pPr>
  </w:style>
  <w:style w:type="paragraph" w:styleId="a8">
    <w:name w:val="Balloon Text"/>
    <w:basedOn w:val="a0"/>
    <w:link w:val="Char3"/>
    <w:uiPriority w:val="99"/>
    <w:unhideWhenUsed/>
    <w:qFormat/>
    <w:pPr>
      <w:spacing w:before="0" w:after="0"/>
    </w:pPr>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ab">
    <w:name w:val="Subtitle"/>
    <w:basedOn w:val="a0"/>
    <w:next w:val="a0"/>
    <w:link w:val="Char6"/>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0">
    <w:name w:val="toc 2"/>
    <w:basedOn w:val="a0"/>
    <w:next w:val="a0"/>
    <w:uiPriority w:val="39"/>
    <w:unhideWhenUsed/>
    <w:qFormat/>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0"/>
    <w:uiPriority w:val="99"/>
    <w:unhideWhenUsed/>
    <w:pPr>
      <w:spacing w:before="100" w:beforeAutospacing="1" w:after="100" w:afterAutospacing="1"/>
      <w:jc w:val="left"/>
    </w:pPr>
    <w:rPr>
      <w:kern w:val="0"/>
    </w:rPr>
  </w:style>
  <w:style w:type="paragraph" w:styleId="a">
    <w:name w:val="Title"/>
    <w:basedOn w:val="a0"/>
    <w:next w:val="a0"/>
    <w:link w:val="Char7"/>
    <w:uiPriority w:val="10"/>
    <w:qFormat/>
    <w:pPr>
      <w:numPr>
        <w:numId w:val="2"/>
      </w:numPr>
      <w:spacing w:before="240" w:after="60"/>
      <w:ind w:left="0"/>
      <w:jc w:val="center"/>
      <w:outlineLvl w:val="0"/>
    </w:pPr>
    <w:rPr>
      <w:rFonts w:ascii="Cambria" w:hAnsi="Cambria"/>
      <w:b/>
      <w:bCs/>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rPr>
      <w:sz w:val="21"/>
      <w:szCs w:val="21"/>
    </w:rPr>
  </w:style>
  <w:style w:type="paragraph" w:customStyle="1" w:styleId="11">
    <w:name w:val="无间隔1"/>
    <w:uiPriority w:val="1"/>
    <w:qFormat/>
    <w:pPr>
      <w:widowControl w:val="0"/>
      <w:jc w:val="both"/>
    </w:pPr>
    <w:rPr>
      <w:rFonts w:eastAsia="仿宋"/>
      <w:kern w:val="2"/>
      <w:sz w:val="24"/>
    </w:rPr>
  </w:style>
  <w:style w:type="paragraph" w:customStyle="1" w:styleId="12">
    <w:name w:val="列出段落1"/>
    <w:basedOn w:val="a0"/>
    <w:qFormat/>
    <w:pPr>
      <w:ind w:firstLineChars="200" w:firstLine="420"/>
    </w:pPr>
    <w:rPr>
      <w:rFonts w:ascii="Calibri" w:eastAsia="宋体" w:hAnsi="Calibri"/>
      <w:sz w:val="21"/>
    </w:rPr>
  </w:style>
  <w:style w:type="paragraph" w:customStyle="1" w:styleId="TOC1">
    <w:name w:val="TOC 标题1"/>
    <w:basedOn w:val="1"/>
    <w:next w:val="a0"/>
    <w:uiPriority w:val="39"/>
    <w:unhideWhenUsed/>
    <w:qFormat/>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3">
    <w:name w:val="修订1"/>
    <w:hidden/>
    <w:uiPriority w:val="99"/>
    <w:semiHidden/>
    <w:rPr>
      <w:rFonts w:eastAsia="仿宋"/>
      <w:sz w:val="24"/>
    </w:rPr>
  </w:style>
  <w:style w:type="paragraph" w:customStyle="1" w:styleId="CharCharCharCharCharChar1CharCharChar">
    <w:name w:val="Char Char Char Char Char Char1 Char Char Char"/>
    <w:basedOn w:val="a0"/>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Pr>
      <w:rFonts w:eastAsia="仿宋"/>
      <w:b/>
      <w:bCs/>
      <w:kern w:val="44"/>
      <w:sz w:val="24"/>
      <w:szCs w:val="44"/>
    </w:rPr>
  </w:style>
  <w:style w:type="character" w:customStyle="1" w:styleId="3Char">
    <w:name w:val="标题 3 Char"/>
    <w:basedOn w:val="a1"/>
    <w:link w:val="3"/>
    <w:rPr>
      <w:rFonts w:ascii="Times New Roman" w:eastAsia="方正仿宋简体" w:hAnsi="Times New Roman" w:cs="Times New Roman"/>
      <w:b/>
      <w:bCs/>
      <w:sz w:val="32"/>
      <w:szCs w:val="32"/>
    </w:rPr>
  </w:style>
  <w:style w:type="character" w:customStyle="1" w:styleId="Char7">
    <w:name w:val="标题 Char"/>
    <w:basedOn w:val="a1"/>
    <w:link w:val="a"/>
    <w:uiPriority w:val="10"/>
    <w:rPr>
      <w:rFonts w:ascii="Cambria" w:eastAsia="仿宋" w:hAnsi="Cambria"/>
      <w:b/>
      <w:bCs/>
      <w:kern w:val="2"/>
      <w:sz w:val="24"/>
      <w:szCs w:val="32"/>
    </w:rPr>
  </w:style>
  <w:style w:type="character" w:customStyle="1" w:styleId="Char5">
    <w:name w:val="页眉 Char"/>
    <w:basedOn w:val="a1"/>
    <w:link w:val="aa"/>
    <w:uiPriority w:val="99"/>
    <w:rPr>
      <w:rFonts w:ascii="Times New Roman" w:eastAsia="仿宋" w:hAnsi="Times New Roman"/>
      <w:sz w:val="18"/>
      <w:szCs w:val="18"/>
    </w:rPr>
  </w:style>
  <w:style w:type="character" w:customStyle="1" w:styleId="Char4">
    <w:name w:val="页脚 Char"/>
    <w:basedOn w:val="a1"/>
    <w:link w:val="a9"/>
    <w:uiPriority w:val="99"/>
    <w:rPr>
      <w:rFonts w:ascii="Times New Roman" w:eastAsia="仿宋" w:hAnsi="Times New Roman"/>
      <w:sz w:val="18"/>
      <w:szCs w:val="18"/>
    </w:rPr>
  </w:style>
  <w:style w:type="character" w:customStyle="1" w:styleId="Char0">
    <w:name w:val="批注文字 Char"/>
    <w:basedOn w:val="a1"/>
    <w:link w:val="a5"/>
    <w:uiPriority w:val="99"/>
    <w:semiHidden/>
    <w:rPr>
      <w:rFonts w:ascii="Times New Roman" w:eastAsia="仿宋" w:hAnsi="Times New Roman"/>
      <w:sz w:val="24"/>
      <w:szCs w:val="20"/>
    </w:rPr>
  </w:style>
  <w:style w:type="character" w:customStyle="1" w:styleId="Char">
    <w:name w:val="批注主题 Char"/>
    <w:basedOn w:val="Char0"/>
    <w:link w:val="a4"/>
    <w:uiPriority w:val="99"/>
    <w:semiHidden/>
    <w:rPr>
      <w:rFonts w:ascii="Times New Roman" w:eastAsia="仿宋" w:hAnsi="Times New Roman"/>
      <w:b/>
      <w:bCs/>
      <w:sz w:val="24"/>
      <w:szCs w:val="20"/>
    </w:rPr>
  </w:style>
  <w:style w:type="character" w:customStyle="1" w:styleId="Char3">
    <w:name w:val="批注框文本 Char"/>
    <w:basedOn w:val="a1"/>
    <w:link w:val="a8"/>
    <w:uiPriority w:val="99"/>
    <w:semiHidden/>
    <w:rPr>
      <w:rFonts w:ascii="Times New Roman" w:eastAsia="仿宋" w:hAnsi="Times New Roman"/>
      <w:sz w:val="18"/>
      <w:szCs w:val="18"/>
    </w:rPr>
  </w:style>
  <w:style w:type="paragraph" w:customStyle="1" w:styleId="21">
    <w:name w:val="修订2"/>
    <w:hidden/>
    <w:uiPriority w:val="99"/>
    <w:semiHidden/>
    <w:rPr>
      <w:rFonts w:eastAsia="仿宋"/>
      <w:kern w:val="2"/>
      <w:sz w:val="24"/>
    </w:rPr>
  </w:style>
  <w:style w:type="character" w:customStyle="1" w:styleId="Char2">
    <w:name w:val="正文文本 Char"/>
    <w:link w:val="a7"/>
    <w:rPr>
      <w:rFonts w:eastAsia="方正仿宋简体"/>
      <w:kern w:val="2"/>
      <w:sz w:val="32"/>
    </w:rPr>
  </w:style>
  <w:style w:type="character" w:customStyle="1" w:styleId="Char10">
    <w:name w:val="正文文本 Char1"/>
    <w:basedOn w:val="a1"/>
    <w:semiHidden/>
    <w:rPr>
      <w:rFonts w:eastAsia="仿宋"/>
      <w:kern w:val="2"/>
      <w:sz w:val="24"/>
    </w:rPr>
  </w:style>
  <w:style w:type="paragraph" w:customStyle="1" w:styleId="22">
    <w:name w:val="列出段落2"/>
    <w:basedOn w:val="a0"/>
    <w:uiPriority w:val="34"/>
    <w:qFormat/>
    <w:pPr>
      <w:ind w:firstLineChars="200" w:firstLine="420"/>
    </w:pPr>
  </w:style>
  <w:style w:type="paragraph" w:customStyle="1" w:styleId="TOC2">
    <w:name w:val="TOC 标题2"/>
    <w:basedOn w:val="1"/>
    <w:next w:val="a0"/>
    <w:uiPriority w:val="39"/>
    <w:unhideWhenUsed/>
    <w:qFormat/>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6">
    <w:name w:val="副标题 Char"/>
    <w:basedOn w:val="a1"/>
    <w:link w:val="ab"/>
    <w:qFormat/>
    <w:rPr>
      <w:rFonts w:asciiTheme="majorHAnsi" w:hAnsiTheme="majorHAnsi" w:cstheme="majorBidi"/>
      <w:b/>
      <w:bCs/>
      <w:kern w:val="28"/>
      <w:sz w:val="32"/>
      <w:szCs w:val="32"/>
    </w:rPr>
  </w:style>
  <w:style w:type="character" w:customStyle="1" w:styleId="Char1">
    <w:name w:val="文档结构图 Char"/>
    <w:basedOn w:val="a1"/>
    <w:link w:val="a6"/>
    <w:semiHidden/>
    <w:qFormat/>
    <w:rPr>
      <w:rFonts w:ascii="Heiti SC Light" w:eastAsia="Heiti SC Light"/>
      <w:kern w:val="2"/>
      <w:sz w:val="24"/>
      <w:szCs w:val="24"/>
    </w:rPr>
  </w:style>
  <w:style w:type="character" w:customStyle="1" w:styleId="2Char">
    <w:name w:val="正文文本缩进 2 Char"/>
    <w:basedOn w:val="a1"/>
    <w:link w:val="2"/>
    <w:semiHidden/>
    <w:qFormat/>
    <w:rPr>
      <w:rFonts w:eastAsia="仿宋"/>
      <w:kern w:val="2"/>
      <w:sz w:val="24"/>
    </w:rPr>
  </w:style>
  <w:style w:type="paragraph" w:styleId="af0">
    <w:name w:val="Revision"/>
    <w:hidden/>
    <w:uiPriority w:val="99"/>
    <w:unhideWhenUsed/>
    <w:rsid w:val="00012BAA"/>
    <w:rPr>
      <w:rFonts w:eastAsia="仿宋"/>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Body Text" w:semiHidden="0" w:unhideWhenUsed="0"/>
    <w:lsdException w:name="Subtitle" w:semiHidden="0" w:unhideWhenUsed="0" w:qFormat="1"/>
    <w:lsdException w:name="Body Text Indent 2" w:qFormat="1"/>
    <w:lsdException w:name="Hyperlink" w:semiHidden="0"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120" w:after="120"/>
      <w:jc w:val="both"/>
    </w:pPr>
    <w:rPr>
      <w:rFonts w:eastAsia="仿宋"/>
      <w:kern w:val="2"/>
      <w:sz w:val="24"/>
    </w:rPr>
  </w:style>
  <w:style w:type="paragraph" w:styleId="1">
    <w:name w:val="heading 1"/>
    <w:basedOn w:val="a0"/>
    <w:next w:val="a0"/>
    <w:link w:val="1Char"/>
    <w:uiPriority w:val="9"/>
    <w:qFormat/>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unhideWhenUsed/>
    <w:rPr>
      <w:b/>
      <w:bCs/>
    </w:rPr>
  </w:style>
  <w:style w:type="paragraph" w:styleId="a5">
    <w:name w:val="annotation text"/>
    <w:basedOn w:val="a0"/>
    <w:link w:val="Char0"/>
    <w:uiPriority w:val="99"/>
    <w:unhideWhenUsed/>
    <w:qFormat/>
    <w:pPr>
      <w:jc w:val="left"/>
    </w:pPr>
  </w:style>
  <w:style w:type="paragraph" w:styleId="a6">
    <w:name w:val="Document Map"/>
    <w:basedOn w:val="a0"/>
    <w:link w:val="Char1"/>
    <w:unhideWhenUsed/>
    <w:qFormat/>
    <w:rPr>
      <w:rFonts w:ascii="Heiti SC Light" w:eastAsia="Heiti SC Light"/>
      <w:szCs w:val="24"/>
    </w:rPr>
  </w:style>
  <w:style w:type="paragraph" w:styleId="a7">
    <w:name w:val="Body Text"/>
    <w:basedOn w:val="a0"/>
    <w:link w:val="Char2"/>
    <w:pPr>
      <w:spacing w:before="0"/>
    </w:pPr>
    <w:rPr>
      <w:rFonts w:eastAsia="方正仿宋简体"/>
      <w:sz w:val="32"/>
    </w:rPr>
  </w:style>
  <w:style w:type="paragraph" w:styleId="30">
    <w:name w:val="toc 3"/>
    <w:basedOn w:val="a0"/>
    <w:next w:val="a0"/>
    <w:uiPriority w:val="39"/>
    <w:unhideWhenUsed/>
    <w:qFormat/>
    <w:pPr>
      <w:widowControl/>
      <w:spacing w:before="0"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0"/>
    <w:link w:val="2Char"/>
    <w:unhideWhenUsed/>
    <w:qFormat/>
    <w:pPr>
      <w:spacing w:line="480" w:lineRule="auto"/>
      <w:ind w:leftChars="200" w:left="420"/>
    </w:pPr>
  </w:style>
  <w:style w:type="paragraph" w:styleId="a8">
    <w:name w:val="Balloon Text"/>
    <w:basedOn w:val="a0"/>
    <w:link w:val="Char3"/>
    <w:uiPriority w:val="99"/>
    <w:unhideWhenUsed/>
    <w:qFormat/>
    <w:pPr>
      <w:spacing w:before="0" w:after="0"/>
    </w:pPr>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ab">
    <w:name w:val="Subtitle"/>
    <w:basedOn w:val="a0"/>
    <w:next w:val="a0"/>
    <w:link w:val="Char6"/>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0">
    <w:name w:val="toc 2"/>
    <w:basedOn w:val="a0"/>
    <w:next w:val="a0"/>
    <w:uiPriority w:val="39"/>
    <w:unhideWhenUsed/>
    <w:qFormat/>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0"/>
    <w:uiPriority w:val="99"/>
    <w:unhideWhenUsed/>
    <w:pPr>
      <w:spacing w:before="100" w:beforeAutospacing="1" w:after="100" w:afterAutospacing="1"/>
      <w:jc w:val="left"/>
    </w:pPr>
    <w:rPr>
      <w:kern w:val="0"/>
    </w:rPr>
  </w:style>
  <w:style w:type="paragraph" w:styleId="a">
    <w:name w:val="Title"/>
    <w:basedOn w:val="a0"/>
    <w:next w:val="a0"/>
    <w:link w:val="Char7"/>
    <w:uiPriority w:val="10"/>
    <w:qFormat/>
    <w:pPr>
      <w:numPr>
        <w:numId w:val="2"/>
      </w:numPr>
      <w:spacing w:before="240" w:after="60"/>
      <w:ind w:left="0"/>
      <w:jc w:val="center"/>
      <w:outlineLvl w:val="0"/>
    </w:pPr>
    <w:rPr>
      <w:rFonts w:ascii="Cambria" w:hAnsi="Cambria"/>
      <w:b/>
      <w:bCs/>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rPr>
      <w:sz w:val="21"/>
      <w:szCs w:val="21"/>
    </w:rPr>
  </w:style>
  <w:style w:type="paragraph" w:customStyle="1" w:styleId="11">
    <w:name w:val="无间隔1"/>
    <w:uiPriority w:val="1"/>
    <w:qFormat/>
    <w:pPr>
      <w:widowControl w:val="0"/>
      <w:jc w:val="both"/>
    </w:pPr>
    <w:rPr>
      <w:rFonts w:eastAsia="仿宋"/>
      <w:kern w:val="2"/>
      <w:sz w:val="24"/>
    </w:rPr>
  </w:style>
  <w:style w:type="paragraph" w:customStyle="1" w:styleId="12">
    <w:name w:val="列出段落1"/>
    <w:basedOn w:val="a0"/>
    <w:qFormat/>
    <w:pPr>
      <w:ind w:firstLineChars="200" w:firstLine="420"/>
    </w:pPr>
    <w:rPr>
      <w:rFonts w:ascii="Calibri" w:eastAsia="宋体" w:hAnsi="Calibri"/>
      <w:sz w:val="21"/>
    </w:rPr>
  </w:style>
  <w:style w:type="paragraph" w:customStyle="1" w:styleId="TOC1">
    <w:name w:val="TOC 标题1"/>
    <w:basedOn w:val="1"/>
    <w:next w:val="a0"/>
    <w:uiPriority w:val="39"/>
    <w:unhideWhenUsed/>
    <w:qFormat/>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3">
    <w:name w:val="修订1"/>
    <w:hidden/>
    <w:uiPriority w:val="99"/>
    <w:semiHidden/>
    <w:rPr>
      <w:rFonts w:eastAsia="仿宋"/>
      <w:sz w:val="24"/>
    </w:rPr>
  </w:style>
  <w:style w:type="paragraph" w:customStyle="1" w:styleId="CharCharCharCharCharChar1CharCharChar">
    <w:name w:val="Char Char Char Char Char Char1 Char Char Char"/>
    <w:basedOn w:val="a0"/>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Pr>
      <w:rFonts w:eastAsia="仿宋"/>
      <w:b/>
      <w:bCs/>
      <w:kern w:val="44"/>
      <w:sz w:val="24"/>
      <w:szCs w:val="44"/>
    </w:rPr>
  </w:style>
  <w:style w:type="character" w:customStyle="1" w:styleId="3Char">
    <w:name w:val="标题 3 Char"/>
    <w:basedOn w:val="a1"/>
    <w:link w:val="3"/>
    <w:rPr>
      <w:rFonts w:ascii="Times New Roman" w:eastAsia="方正仿宋简体" w:hAnsi="Times New Roman" w:cs="Times New Roman"/>
      <w:b/>
      <w:bCs/>
      <w:sz w:val="32"/>
      <w:szCs w:val="32"/>
    </w:rPr>
  </w:style>
  <w:style w:type="character" w:customStyle="1" w:styleId="Char7">
    <w:name w:val="标题 Char"/>
    <w:basedOn w:val="a1"/>
    <w:link w:val="a"/>
    <w:uiPriority w:val="10"/>
    <w:rPr>
      <w:rFonts w:ascii="Cambria" w:eastAsia="仿宋" w:hAnsi="Cambria"/>
      <w:b/>
      <w:bCs/>
      <w:kern w:val="2"/>
      <w:sz w:val="24"/>
      <w:szCs w:val="32"/>
    </w:rPr>
  </w:style>
  <w:style w:type="character" w:customStyle="1" w:styleId="Char5">
    <w:name w:val="页眉 Char"/>
    <w:basedOn w:val="a1"/>
    <w:link w:val="aa"/>
    <w:uiPriority w:val="99"/>
    <w:rPr>
      <w:rFonts w:ascii="Times New Roman" w:eastAsia="仿宋" w:hAnsi="Times New Roman"/>
      <w:sz w:val="18"/>
      <w:szCs w:val="18"/>
    </w:rPr>
  </w:style>
  <w:style w:type="character" w:customStyle="1" w:styleId="Char4">
    <w:name w:val="页脚 Char"/>
    <w:basedOn w:val="a1"/>
    <w:link w:val="a9"/>
    <w:uiPriority w:val="99"/>
    <w:rPr>
      <w:rFonts w:ascii="Times New Roman" w:eastAsia="仿宋" w:hAnsi="Times New Roman"/>
      <w:sz w:val="18"/>
      <w:szCs w:val="18"/>
    </w:rPr>
  </w:style>
  <w:style w:type="character" w:customStyle="1" w:styleId="Char0">
    <w:name w:val="批注文字 Char"/>
    <w:basedOn w:val="a1"/>
    <w:link w:val="a5"/>
    <w:uiPriority w:val="99"/>
    <w:semiHidden/>
    <w:rPr>
      <w:rFonts w:ascii="Times New Roman" w:eastAsia="仿宋" w:hAnsi="Times New Roman"/>
      <w:sz w:val="24"/>
      <w:szCs w:val="20"/>
    </w:rPr>
  </w:style>
  <w:style w:type="character" w:customStyle="1" w:styleId="Char">
    <w:name w:val="批注主题 Char"/>
    <w:basedOn w:val="Char0"/>
    <w:link w:val="a4"/>
    <w:uiPriority w:val="99"/>
    <w:semiHidden/>
    <w:rPr>
      <w:rFonts w:ascii="Times New Roman" w:eastAsia="仿宋" w:hAnsi="Times New Roman"/>
      <w:b/>
      <w:bCs/>
      <w:sz w:val="24"/>
      <w:szCs w:val="20"/>
    </w:rPr>
  </w:style>
  <w:style w:type="character" w:customStyle="1" w:styleId="Char3">
    <w:name w:val="批注框文本 Char"/>
    <w:basedOn w:val="a1"/>
    <w:link w:val="a8"/>
    <w:uiPriority w:val="99"/>
    <w:semiHidden/>
    <w:rPr>
      <w:rFonts w:ascii="Times New Roman" w:eastAsia="仿宋" w:hAnsi="Times New Roman"/>
      <w:sz w:val="18"/>
      <w:szCs w:val="18"/>
    </w:rPr>
  </w:style>
  <w:style w:type="paragraph" w:customStyle="1" w:styleId="21">
    <w:name w:val="修订2"/>
    <w:hidden/>
    <w:uiPriority w:val="99"/>
    <w:semiHidden/>
    <w:rPr>
      <w:rFonts w:eastAsia="仿宋"/>
      <w:kern w:val="2"/>
      <w:sz w:val="24"/>
    </w:rPr>
  </w:style>
  <w:style w:type="character" w:customStyle="1" w:styleId="Char2">
    <w:name w:val="正文文本 Char"/>
    <w:link w:val="a7"/>
    <w:rPr>
      <w:rFonts w:eastAsia="方正仿宋简体"/>
      <w:kern w:val="2"/>
      <w:sz w:val="32"/>
    </w:rPr>
  </w:style>
  <w:style w:type="character" w:customStyle="1" w:styleId="Char10">
    <w:name w:val="正文文本 Char1"/>
    <w:basedOn w:val="a1"/>
    <w:semiHidden/>
    <w:rPr>
      <w:rFonts w:eastAsia="仿宋"/>
      <w:kern w:val="2"/>
      <w:sz w:val="24"/>
    </w:rPr>
  </w:style>
  <w:style w:type="paragraph" w:customStyle="1" w:styleId="22">
    <w:name w:val="列出段落2"/>
    <w:basedOn w:val="a0"/>
    <w:uiPriority w:val="34"/>
    <w:qFormat/>
    <w:pPr>
      <w:ind w:firstLineChars="200" w:firstLine="420"/>
    </w:pPr>
  </w:style>
  <w:style w:type="paragraph" w:customStyle="1" w:styleId="TOC2">
    <w:name w:val="TOC 标题2"/>
    <w:basedOn w:val="1"/>
    <w:next w:val="a0"/>
    <w:uiPriority w:val="39"/>
    <w:unhideWhenUsed/>
    <w:qFormat/>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6">
    <w:name w:val="副标题 Char"/>
    <w:basedOn w:val="a1"/>
    <w:link w:val="ab"/>
    <w:qFormat/>
    <w:rPr>
      <w:rFonts w:asciiTheme="majorHAnsi" w:hAnsiTheme="majorHAnsi" w:cstheme="majorBidi"/>
      <w:b/>
      <w:bCs/>
      <w:kern w:val="28"/>
      <w:sz w:val="32"/>
      <w:szCs w:val="32"/>
    </w:rPr>
  </w:style>
  <w:style w:type="character" w:customStyle="1" w:styleId="Char1">
    <w:name w:val="文档结构图 Char"/>
    <w:basedOn w:val="a1"/>
    <w:link w:val="a6"/>
    <w:semiHidden/>
    <w:qFormat/>
    <w:rPr>
      <w:rFonts w:ascii="Heiti SC Light" w:eastAsia="Heiti SC Light"/>
      <w:kern w:val="2"/>
      <w:sz w:val="24"/>
      <w:szCs w:val="24"/>
    </w:rPr>
  </w:style>
  <w:style w:type="character" w:customStyle="1" w:styleId="2Char">
    <w:name w:val="正文文本缩进 2 Char"/>
    <w:basedOn w:val="a1"/>
    <w:link w:val="2"/>
    <w:semiHidden/>
    <w:qFormat/>
    <w:rPr>
      <w:rFonts w:eastAsia="仿宋"/>
      <w:kern w:val="2"/>
      <w:sz w:val="24"/>
    </w:rPr>
  </w:style>
  <w:style w:type="paragraph" w:styleId="af0">
    <w:name w:val="Revision"/>
    <w:hidden/>
    <w:uiPriority w:val="99"/>
    <w:unhideWhenUsed/>
    <w:rsid w:val="00012BAA"/>
    <w:rPr>
      <w:rFonts w:eastAsia="仿宋"/>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0748D-C730-41C4-B2F2-32737306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1921</Words>
  <Characters>10956</Characters>
  <Application>Microsoft Office Word</Application>
  <DocSecurity>0</DocSecurity>
  <Lines>91</Lines>
  <Paragraphs>25</Paragraphs>
  <ScaleCrop>false</ScaleCrop>
  <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私募基金合同内容与格式指引</dc:title>
  <dc:creator>陈园</dc:creator>
  <cp:lastModifiedBy>毛建宇:返回拟稿人</cp:lastModifiedBy>
  <cp:revision>9</cp:revision>
  <cp:lastPrinted>2015-12-16T09:53:00Z</cp:lastPrinted>
  <dcterms:created xsi:type="dcterms:W3CDTF">2015-12-14T08:56:00Z</dcterms:created>
  <dcterms:modified xsi:type="dcterms:W3CDTF">2015-12-16T10:43:00Z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