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10E03" w:rsidRPr="00EC2A12" w:rsidRDefault="00F10E03" w:rsidP="00F10E03">
      <w:pPr>
        <w:jc w:val="center"/>
        <w:rPr>
          <w:rFonts w:ascii="黑体" w:eastAsia="黑体" w:hAnsi="黑体"/>
          <w:b/>
          <w:sz w:val="44"/>
          <w:szCs w:val="44"/>
        </w:rPr>
      </w:pPr>
      <w:bookmarkStart w:id="0" w:name="_Toc244328385"/>
      <w:bookmarkStart w:id="1" w:name="_Toc244392101"/>
      <w:bookmarkStart w:id="2" w:name="_Toc244536048"/>
      <w:bookmarkStart w:id="3" w:name="_Toc244392103"/>
      <w:bookmarkStart w:id="4" w:name="_Toc244536050"/>
      <w:bookmarkStart w:id="5" w:name="_GoBack"/>
      <w:bookmarkEnd w:id="5"/>
      <w:r w:rsidRPr="00EC2A12">
        <w:rPr>
          <w:rFonts w:ascii="黑体" w:eastAsia="黑体" w:hAnsi="黑体" w:hint="eastAsia"/>
          <w:b/>
          <w:sz w:val="44"/>
          <w:szCs w:val="44"/>
        </w:rPr>
        <w:t>私募投资基金合同指引</w:t>
      </w:r>
      <w:r w:rsidR="00147BC3" w:rsidRPr="00EC2A12">
        <w:rPr>
          <w:rFonts w:ascii="黑体" w:eastAsia="黑体" w:hAnsi="黑体" w:hint="eastAsia"/>
          <w:b/>
          <w:sz w:val="44"/>
          <w:szCs w:val="44"/>
        </w:rPr>
        <w:t>3</w:t>
      </w:r>
      <w:r w:rsidRPr="00EC2A12">
        <w:rPr>
          <w:rFonts w:ascii="黑体" w:eastAsia="黑体" w:hAnsi="黑体" w:hint="eastAsia"/>
          <w:b/>
          <w:sz w:val="44"/>
          <w:szCs w:val="44"/>
        </w:rPr>
        <w:t>号</w:t>
      </w:r>
    </w:p>
    <w:p w:rsidR="00F10E03" w:rsidRPr="00EC2A12" w:rsidRDefault="00F10E03" w:rsidP="00F10E03">
      <w:pPr>
        <w:jc w:val="center"/>
        <w:rPr>
          <w:rFonts w:ascii="黑体" w:eastAsia="黑体" w:hAnsi="黑体"/>
          <w:b/>
          <w:sz w:val="44"/>
          <w:szCs w:val="44"/>
        </w:rPr>
      </w:pPr>
      <w:r w:rsidRPr="00EC2A12">
        <w:rPr>
          <w:rFonts w:ascii="黑体" w:eastAsia="黑体" w:hAnsi="黑体" w:hint="eastAsia"/>
          <w:b/>
          <w:sz w:val="44"/>
          <w:szCs w:val="44"/>
        </w:rPr>
        <w:t>（公司章程</w:t>
      </w:r>
      <w:r w:rsidR="0039055D" w:rsidRPr="00EC2A12">
        <w:rPr>
          <w:rFonts w:ascii="黑体" w:eastAsia="黑体" w:hAnsi="黑体" w:hint="eastAsia"/>
          <w:b/>
          <w:sz w:val="44"/>
          <w:szCs w:val="44"/>
        </w:rPr>
        <w:t>必备条款</w:t>
      </w:r>
      <w:r w:rsidR="003F4E02" w:rsidRPr="00EC2A12">
        <w:rPr>
          <w:rFonts w:ascii="黑体" w:eastAsia="黑体" w:hAnsi="黑体" w:hint="eastAsia"/>
          <w:b/>
          <w:sz w:val="44"/>
          <w:szCs w:val="44"/>
        </w:rPr>
        <w:t>指引</w:t>
      </w:r>
      <w:r w:rsidRPr="00EC2A12">
        <w:rPr>
          <w:rFonts w:ascii="黑体" w:eastAsia="黑体" w:hAnsi="黑体" w:hint="eastAsia"/>
          <w:b/>
          <w:sz w:val="44"/>
          <w:szCs w:val="44"/>
        </w:rPr>
        <w:t>）</w:t>
      </w:r>
    </w:p>
    <w:p w:rsidR="00F10E03" w:rsidRPr="00EC2A12" w:rsidRDefault="00F10E03" w:rsidP="00F10E03">
      <w:pPr>
        <w:jc w:val="center"/>
        <w:rPr>
          <w:rFonts w:ascii="黑体" w:eastAsia="黑体" w:hAnsi="黑体"/>
          <w:sz w:val="44"/>
          <w:szCs w:val="44"/>
        </w:rPr>
      </w:pPr>
      <w:r w:rsidRPr="00EC2A12">
        <w:rPr>
          <w:rFonts w:ascii="黑体" w:eastAsia="黑体" w:hAnsi="黑体" w:hint="eastAsia"/>
          <w:sz w:val="44"/>
          <w:szCs w:val="44"/>
        </w:rPr>
        <w:t>（征求意见稿）</w:t>
      </w:r>
    </w:p>
    <w:p w:rsidR="00344B9B" w:rsidRPr="00344B9B" w:rsidRDefault="00344B9B" w:rsidP="00F10E03">
      <w:pPr>
        <w:jc w:val="center"/>
        <w:rPr>
          <w:rFonts w:ascii="仿宋" w:eastAsia="仿宋" w:hAnsi="仿宋"/>
          <w:sz w:val="44"/>
          <w:szCs w:val="44"/>
        </w:rPr>
      </w:pPr>
    </w:p>
    <w:bookmarkEnd w:id="0"/>
    <w:bookmarkEnd w:id="1"/>
    <w:bookmarkEnd w:id="2"/>
    <w:p w:rsidR="00F10E03" w:rsidRPr="00344B9B" w:rsidRDefault="00F10E03" w:rsidP="00E54D1E">
      <w:pPr>
        <w:pStyle w:val="11"/>
        <w:numPr>
          <w:ilvl w:val="0"/>
          <w:numId w:val="4"/>
        </w:numPr>
        <w:tabs>
          <w:tab w:val="left" w:pos="1134"/>
          <w:tab w:val="left" w:pos="1276"/>
        </w:tabs>
        <w:spacing w:before="0" w:after="0"/>
        <w:ind w:left="0" w:firstLineChars="133" w:firstLine="426"/>
        <w:rPr>
          <w:rFonts w:ascii="仿宋" w:eastAsia="仿宋" w:hAnsi="仿宋"/>
          <w:sz w:val="32"/>
          <w:szCs w:val="32"/>
        </w:rPr>
      </w:pPr>
      <w:r w:rsidRPr="00344B9B">
        <w:rPr>
          <w:rFonts w:ascii="仿宋" w:eastAsia="仿宋" w:hAnsi="仿宋" w:hint="eastAsia"/>
          <w:sz w:val="32"/>
          <w:szCs w:val="32"/>
        </w:rPr>
        <w:t>根据《证券投资基金法》（以下简称《基金法》）、《公司法》</w:t>
      </w:r>
      <w:r w:rsidR="007753F6" w:rsidRPr="00344B9B">
        <w:rPr>
          <w:rFonts w:ascii="仿宋" w:eastAsia="仿宋" w:hAnsi="仿宋" w:hint="eastAsia"/>
          <w:sz w:val="32"/>
          <w:szCs w:val="32"/>
        </w:rPr>
        <w:t>、《公司登记管理条例</w:t>
      </w:r>
      <w:r w:rsidRPr="00344B9B">
        <w:rPr>
          <w:rFonts w:ascii="仿宋" w:eastAsia="仿宋" w:hAnsi="仿宋" w:hint="eastAsia"/>
          <w:sz w:val="32"/>
          <w:szCs w:val="32"/>
        </w:rPr>
        <w:t>》、《私募投资基金监督管理暂行办法》（以下简称《暂行办法》）、《私募投资基金管理人登记和基金备案办法（试行）》（以下简称《登记备案办法》）及其他相关规定，制定本指引。</w:t>
      </w:r>
    </w:p>
    <w:p w:rsidR="00F10E03" w:rsidRPr="00344B9B" w:rsidRDefault="00F10E03" w:rsidP="00E54D1E">
      <w:pPr>
        <w:pStyle w:val="11"/>
        <w:numPr>
          <w:ilvl w:val="0"/>
          <w:numId w:val="4"/>
        </w:numPr>
        <w:tabs>
          <w:tab w:val="left" w:pos="1134"/>
          <w:tab w:val="left" w:pos="1276"/>
        </w:tabs>
        <w:spacing w:before="0" w:after="0"/>
        <w:ind w:left="0" w:firstLineChars="133" w:firstLine="426"/>
        <w:rPr>
          <w:rFonts w:ascii="仿宋" w:eastAsia="仿宋" w:hAnsi="仿宋"/>
          <w:sz w:val="32"/>
          <w:szCs w:val="32"/>
        </w:rPr>
      </w:pPr>
      <w:r w:rsidRPr="00344B9B">
        <w:rPr>
          <w:rFonts w:ascii="仿宋" w:eastAsia="仿宋" w:hAnsi="仿宋" w:hint="eastAsia"/>
          <w:sz w:val="32"/>
          <w:szCs w:val="32"/>
        </w:rPr>
        <w:t>私募基金管理人通过</w:t>
      </w:r>
      <w:r w:rsidR="00F605C1" w:rsidRPr="00344B9B">
        <w:rPr>
          <w:rFonts w:ascii="仿宋" w:eastAsia="仿宋" w:hAnsi="仿宋" w:hint="eastAsia"/>
          <w:sz w:val="32"/>
          <w:szCs w:val="32"/>
        </w:rPr>
        <w:t>有限责任</w:t>
      </w:r>
      <w:r w:rsidRPr="00344B9B">
        <w:rPr>
          <w:rFonts w:ascii="仿宋" w:eastAsia="仿宋" w:hAnsi="仿宋" w:hint="eastAsia"/>
          <w:sz w:val="32"/>
          <w:szCs w:val="32"/>
        </w:rPr>
        <w:t>公司</w:t>
      </w:r>
      <w:r w:rsidR="00F605C1" w:rsidRPr="00344B9B">
        <w:rPr>
          <w:rFonts w:ascii="仿宋" w:eastAsia="仿宋" w:hAnsi="仿宋" w:hint="eastAsia"/>
          <w:sz w:val="32"/>
          <w:szCs w:val="32"/>
        </w:rPr>
        <w:t>或股份有限公司</w:t>
      </w:r>
      <w:r w:rsidRPr="00344B9B">
        <w:rPr>
          <w:rFonts w:ascii="仿宋" w:eastAsia="仿宋" w:hAnsi="仿宋" w:hint="eastAsia"/>
          <w:sz w:val="32"/>
          <w:szCs w:val="32"/>
        </w:rPr>
        <w:t>形式募集设立私募投资基金的，应当按照本指引制定公司章程</w:t>
      </w:r>
      <w:r w:rsidR="008B3855" w:rsidRPr="00344B9B">
        <w:rPr>
          <w:rFonts w:ascii="仿宋" w:eastAsia="仿宋" w:hAnsi="仿宋" w:hint="eastAsia"/>
          <w:sz w:val="32"/>
          <w:szCs w:val="32"/>
        </w:rPr>
        <w:t>（以下简称“章程”）</w:t>
      </w:r>
      <w:r w:rsidRPr="00344B9B">
        <w:rPr>
          <w:rFonts w:ascii="仿宋" w:eastAsia="仿宋" w:hAnsi="仿宋" w:hint="eastAsia"/>
          <w:sz w:val="32"/>
          <w:szCs w:val="32"/>
        </w:rPr>
        <w:t>。</w:t>
      </w:r>
      <w:r w:rsidR="008134A2" w:rsidRPr="00344B9B">
        <w:rPr>
          <w:rFonts w:ascii="仿宋" w:eastAsia="仿宋" w:hAnsi="仿宋" w:hint="eastAsia"/>
          <w:sz w:val="32"/>
          <w:szCs w:val="32"/>
        </w:rPr>
        <w:t>章程中应当载明本指引规定的</w:t>
      </w:r>
      <w:r w:rsidR="00525834">
        <w:rPr>
          <w:rFonts w:ascii="仿宋" w:eastAsia="仿宋" w:hAnsi="仿宋" w:hint="eastAsia"/>
          <w:sz w:val="32"/>
          <w:szCs w:val="32"/>
        </w:rPr>
        <w:t>必备条款，</w:t>
      </w:r>
      <w:r w:rsidR="008134A2" w:rsidRPr="00344B9B">
        <w:rPr>
          <w:rFonts w:ascii="仿宋" w:eastAsia="仿宋" w:hAnsi="仿宋" w:hint="eastAsia"/>
          <w:sz w:val="32"/>
          <w:szCs w:val="32"/>
        </w:rPr>
        <w:t>本指引</w:t>
      </w:r>
      <w:r w:rsidR="00525834">
        <w:rPr>
          <w:rFonts w:ascii="仿宋" w:eastAsia="仿宋" w:hAnsi="仿宋" w:hint="eastAsia"/>
          <w:sz w:val="32"/>
          <w:szCs w:val="32"/>
        </w:rPr>
        <w:t>必备条款未尽事宜</w:t>
      </w:r>
      <w:r w:rsidR="008134A2" w:rsidRPr="00344B9B">
        <w:rPr>
          <w:rFonts w:ascii="仿宋" w:eastAsia="仿宋" w:hAnsi="仿宋" w:hint="eastAsia"/>
          <w:sz w:val="32"/>
          <w:szCs w:val="32"/>
        </w:rPr>
        <w:t>，</w:t>
      </w:r>
      <w:r w:rsidR="00525834">
        <w:rPr>
          <w:rFonts w:ascii="仿宋" w:eastAsia="仿宋" w:hAnsi="仿宋" w:hint="eastAsia"/>
          <w:sz w:val="32"/>
          <w:szCs w:val="32"/>
        </w:rPr>
        <w:t>可以参照私募投资基金合同指引1号的相关内容</w:t>
      </w:r>
      <w:r w:rsidR="008134A2" w:rsidRPr="00344B9B">
        <w:rPr>
          <w:rFonts w:ascii="仿宋" w:eastAsia="仿宋" w:hAnsi="仿宋" w:hint="eastAsia"/>
          <w:sz w:val="32"/>
          <w:szCs w:val="32"/>
        </w:rPr>
        <w:t>。投资者签署的公司章程应当满足相关法律、法规对公司章程的法定基本要求。</w:t>
      </w:r>
    </w:p>
    <w:p w:rsidR="008134A2" w:rsidRPr="00344B9B" w:rsidRDefault="008B3855" w:rsidP="00E54D1E">
      <w:pPr>
        <w:pStyle w:val="11"/>
        <w:numPr>
          <w:ilvl w:val="0"/>
          <w:numId w:val="4"/>
        </w:numPr>
        <w:tabs>
          <w:tab w:val="left" w:pos="1134"/>
          <w:tab w:val="left" w:pos="1276"/>
        </w:tabs>
        <w:spacing w:before="0" w:after="0"/>
        <w:ind w:left="0" w:firstLineChars="133" w:firstLine="426"/>
        <w:rPr>
          <w:rFonts w:ascii="仿宋" w:eastAsia="仿宋" w:hAnsi="仿宋"/>
          <w:sz w:val="32"/>
          <w:szCs w:val="32"/>
        </w:rPr>
      </w:pPr>
      <w:r w:rsidRPr="00344B9B">
        <w:rPr>
          <w:rFonts w:ascii="仿宋" w:eastAsia="仿宋" w:hAnsi="仿宋" w:hint="eastAsia"/>
          <w:sz w:val="32"/>
          <w:szCs w:val="32"/>
        </w:rPr>
        <w:t>本指引所称</w:t>
      </w:r>
      <w:r w:rsidR="00F10E03" w:rsidRPr="00344B9B">
        <w:rPr>
          <w:rFonts w:ascii="仿宋" w:eastAsia="仿宋" w:hAnsi="仿宋" w:hint="eastAsia"/>
          <w:sz w:val="32"/>
          <w:szCs w:val="32"/>
        </w:rPr>
        <w:t>公司型基金是指投资者依据《公司法》，通过出资形成一个独立的</w:t>
      </w:r>
      <w:r w:rsidR="00B1107D" w:rsidRPr="00344B9B">
        <w:rPr>
          <w:rFonts w:ascii="仿宋" w:eastAsia="仿宋" w:hAnsi="仿宋" w:hint="eastAsia"/>
          <w:sz w:val="32"/>
          <w:szCs w:val="32"/>
        </w:rPr>
        <w:t>公司</w:t>
      </w:r>
      <w:r w:rsidR="00F10E03" w:rsidRPr="00344B9B">
        <w:rPr>
          <w:rFonts w:ascii="仿宋" w:eastAsia="仿宋" w:hAnsi="仿宋" w:hint="eastAsia"/>
          <w:sz w:val="32"/>
          <w:szCs w:val="32"/>
        </w:rPr>
        <w:t>法人实体</w:t>
      </w:r>
      <w:r w:rsidR="002B112B" w:rsidRPr="00344B9B">
        <w:rPr>
          <w:rFonts w:ascii="仿宋" w:eastAsia="仿宋" w:hAnsi="仿宋" w:hint="eastAsia"/>
          <w:sz w:val="32"/>
          <w:szCs w:val="32"/>
        </w:rPr>
        <w:t>（以下简称“公司”）</w:t>
      </w:r>
      <w:r w:rsidR="00F10E03" w:rsidRPr="00344B9B">
        <w:rPr>
          <w:rFonts w:ascii="仿宋" w:eastAsia="仿宋" w:hAnsi="仿宋" w:hint="eastAsia"/>
          <w:sz w:val="32"/>
          <w:szCs w:val="32"/>
        </w:rPr>
        <w:t>，由公司自行或者通过委托专门的基金管理人机构进行管理</w:t>
      </w:r>
      <w:r w:rsidRPr="00344B9B">
        <w:rPr>
          <w:rFonts w:ascii="仿宋" w:eastAsia="仿宋" w:hAnsi="仿宋" w:hint="eastAsia"/>
          <w:sz w:val="32"/>
          <w:szCs w:val="32"/>
        </w:rPr>
        <w:t>的私募投资基金。公司型基金的投资者既是基金份额持有者又是</w:t>
      </w:r>
      <w:r w:rsidR="00F10E03" w:rsidRPr="00344B9B">
        <w:rPr>
          <w:rFonts w:ascii="仿宋" w:eastAsia="仿宋" w:hAnsi="仿宋" w:hint="eastAsia"/>
          <w:sz w:val="32"/>
          <w:szCs w:val="32"/>
        </w:rPr>
        <w:t>公司股东，按照公司章程行使相应权利、承担相应义务和责任。</w:t>
      </w:r>
    </w:p>
    <w:p w:rsidR="002A47C0" w:rsidRPr="002A47C0" w:rsidRDefault="002A47C0" w:rsidP="002A47C0">
      <w:pPr>
        <w:pStyle w:val="11"/>
        <w:numPr>
          <w:ilvl w:val="0"/>
          <w:numId w:val="4"/>
        </w:numPr>
        <w:tabs>
          <w:tab w:val="left" w:pos="1134"/>
          <w:tab w:val="left" w:pos="1276"/>
        </w:tabs>
        <w:spacing w:before="0" w:after="0"/>
        <w:ind w:left="0" w:firstLineChars="133" w:firstLine="426"/>
        <w:rPr>
          <w:rFonts w:ascii="仿宋" w:eastAsia="仿宋" w:hAnsi="仿宋"/>
          <w:sz w:val="32"/>
          <w:szCs w:val="32"/>
        </w:rPr>
      </w:pPr>
      <w:bookmarkStart w:id="6" w:name="_Toc413247780"/>
      <w:r w:rsidRPr="002A47C0">
        <w:rPr>
          <w:rFonts w:ascii="仿宋" w:eastAsia="仿宋" w:hAnsi="仿宋" w:hint="eastAsia"/>
          <w:sz w:val="32"/>
          <w:szCs w:val="32"/>
        </w:rPr>
        <w:t>私募基金管理人及私募基金投资者应在公司章程首</w:t>
      </w:r>
      <w:r w:rsidRPr="002A47C0">
        <w:rPr>
          <w:rFonts w:ascii="仿宋" w:eastAsia="仿宋" w:hAnsi="仿宋" w:hint="eastAsia"/>
          <w:sz w:val="32"/>
          <w:szCs w:val="32"/>
        </w:rPr>
        <w:lastRenderedPageBreak/>
        <w:t>页进行如下声明与承诺，包括但不限于：</w:t>
      </w:r>
    </w:p>
    <w:p w:rsidR="002A47C0" w:rsidRPr="004921B4" w:rsidRDefault="002A47C0" w:rsidP="004921B4">
      <w:pPr>
        <w:pStyle w:val="11"/>
        <w:tabs>
          <w:tab w:val="left" w:pos="1134"/>
          <w:tab w:val="left" w:pos="1276"/>
        </w:tabs>
        <w:ind w:firstLine="643"/>
        <w:rPr>
          <w:rFonts w:ascii="仿宋" w:eastAsia="仿宋" w:hAnsi="仿宋"/>
          <w:b/>
          <w:sz w:val="32"/>
          <w:szCs w:val="32"/>
        </w:rPr>
      </w:pPr>
      <w:r w:rsidRPr="004921B4">
        <w:rPr>
          <w:rFonts w:ascii="仿宋" w:eastAsia="仿宋" w:hAnsi="仿宋" w:hint="eastAsia"/>
          <w:b/>
          <w:sz w:val="32"/>
          <w:szCs w:val="32"/>
        </w:rPr>
        <w:t>私募基金管理人保证在募集资金前已在</w:t>
      </w:r>
      <w:r w:rsidR="001341AC">
        <w:rPr>
          <w:rFonts w:ascii="仿宋" w:eastAsia="仿宋" w:hAnsi="仿宋" w:hint="eastAsia"/>
          <w:b/>
          <w:sz w:val="32"/>
          <w:szCs w:val="32"/>
        </w:rPr>
        <w:t>中国基金业协会</w:t>
      </w:r>
      <w:r w:rsidRPr="004921B4">
        <w:rPr>
          <w:rFonts w:ascii="仿宋" w:eastAsia="仿宋" w:hAnsi="仿宋" w:hint="eastAsia"/>
          <w:b/>
          <w:sz w:val="32"/>
          <w:szCs w:val="32"/>
        </w:rPr>
        <w:t>登记为私募基金管理人,并列明管理人登记编码。私募基金管理人应当向投资者进一步声明，</w:t>
      </w:r>
      <w:r w:rsidR="001341AC">
        <w:rPr>
          <w:rFonts w:ascii="仿宋" w:eastAsia="仿宋" w:hAnsi="仿宋" w:hint="eastAsia"/>
          <w:b/>
          <w:sz w:val="32"/>
          <w:szCs w:val="32"/>
        </w:rPr>
        <w:t>中国基金业协会</w:t>
      </w:r>
      <w:r w:rsidRPr="004921B4">
        <w:rPr>
          <w:rFonts w:ascii="仿宋" w:eastAsia="仿宋" w:hAnsi="仿宋" w:hint="eastAsia"/>
          <w:b/>
          <w:sz w:val="32"/>
          <w:szCs w:val="32"/>
        </w:rPr>
        <w:t>为私募基金管理人和私募基金办理登记备案不构成对私募基金管理人投资能力、持续合规情况的认可；不作为对基金财产安全的保证。私募基金管理人保证已在签订本合同前揭示了相关风险；已经了解私募基金投资者的风险偏好、风险认知能力和承受能力。私募基金管理人承诺按照恪尽职守、诚实信用、谨慎勤勉的原则管理运用基金财产，不对基金活动的盈利性和最低收益作出承诺。</w:t>
      </w:r>
    </w:p>
    <w:p w:rsidR="002A47C0" w:rsidRPr="002002F4" w:rsidRDefault="002A47C0" w:rsidP="004921B4">
      <w:pPr>
        <w:pStyle w:val="11"/>
        <w:tabs>
          <w:tab w:val="left" w:pos="1134"/>
          <w:tab w:val="left" w:pos="1276"/>
        </w:tabs>
        <w:ind w:firstLine="643"/>
        <w:rPr>
          <w:rFonts w:ascii="黑体" w:eastAsia="黑体" w:hAnsi="黑体"/>
          <w:sz w:val="32"/>
          <w:szCs w:val="32"/>
        </w:rPr>
      </w:pPr>
      <w:r w:rsidRPr="004921B4">
        <w:rPr>
          <w:rFonts w:ascii="仿宋" w:eastAsia="仿宋" w:hAnsi="仿宋" w:hint="eastAsia"/>
          <w:b/>
          <w:sz w:val="32"/>
          <w:szCs w:val="32"/>
        </w:rPr>
        <w:t>私募基金投资者声明其为符合《暂行办法》规定的合格投资者并按《暂行办法》的要求披露到最终的投资者，保证财产的来源及用途符合国家有关规定，并已充分理解本合同条款，了解相关权利义务，了解有关法律法规及所投资基金的风险收益特征，愿意承担相应的投资风险，且投资事项符合其业务决策程序的要求；私募基金投资者承诺其向私募基金管理人提供的有关投资目的、投资偏好、投资限制、财产收入情况和风险承受能力等基本情况真实、完整、准确、合法，不存在任何重大遗漏或误导。</w:t>
      </w:r>
    </w:p>
    <w:p w:rsidR="002B112B" w:rsidRPr="00344B9B" w:rsidRDefault="002B112B" w:rsidP="00E54D1E">
      <w:pPr>
        <w:pStyle w:val="11"/>
        <w:numPr>
          <w:ilvl w:val="0"/>
          <w:numId w:val="4"/>
        </w:numPr>
        <w:tabs>
          <w:tab w:val="left" w:pos="1134"/>
          <w:tab w:val="left" w:pos="1276"/>
        </w:tabs>
        <w:spacing w:before="0" w:after="0"/>
        <w:ind w:left="0" w:firstLineChars="133" w:firstLine="426"/>
        <w:rPr>
          <w:rFonts w:ascii="仿宋" w:eastAsia="仿宋" w:hAnsi="仿宋"/>
          <w:sz w:val="32"/>
          <w:szCs w:val="32"/>
        </w:rPr>
      </w:pPr>
      <w:r w:rsidRPr="00344B9B">
        <w:rPr>
          <w:rFonts w:ascii="仿宋" w:eastAsia="仿宋" w:hAnsi="仿宋" w:hint="eastAsia"/>
          <w:sz w:val="32"/>
          <w:szCs w:val="32"/>
        </w:rPr>
        <w:t>公司型基金的</w:t>
      </w:r>
      <w:r w:rsidR="008B3855" w:rsidRPr="00344B9B">
        <w:rPr>
          <w:rFonts w:ascii="仿宋" w:eastAsia="仿宋" w:hAnsi="仿宋" w:hint="eastAsia"/>
          <w:sz w:val="32"/>
          <w:szCs w:val="32"/>
        </w:rPr>
        <w:t>章程</w:t>
      </w:r>
      <w:r w:rsidRPr="00344B9B">
        <w:rPr>
          <w:rFonts w:ascii="仿宋" w:eastAsia="仿宋" w:hAnsi="仿宋" w:hint="eastAsia"/>
          <w:sz w:val="32"/>
          <w:szCs w:val="32"/>
        </w:rPr>
        <w:t>应当具备如下条款：</w:t>
      </w:r>
    </w:p>
    <w:p w:rsidR="00F10E03" w:rsidRDefault="002B112B" w:rsidP="004921B4">
      <w:pPr>
        <w:pStyle w:val="11"/>
        <w:numPr>
          <w:ilvl w:val="2"/>
          <w:numId w:val="4"/>
        </w:numPr>
        <w:spacing w:before="0" w:after="0"/>
        <w:ind w:left="0" w:firstLine="640"/>
        <w:rPr>
          <w:rFonts w:ascii="仿宋" w:eastAsia="仿宋" w:hAnsi="仿宋"/>
          <w:sz w:val="32"/>
        </w:rPr>
      </w:pPr>
      <w:r w:rsidRPr="00344B9B">
        <w:rPr>
          <w:rFonts w:ascii="仿宋" w:eastAsia="仿宋" w:hAnsi="仿宋" w:hint="eastAsia"/>
          <w:sz w:val="32"/>
        </w:rPr>
        <w:lastRenderedPageBreak/>
        <w:t>【基本信息】章程</w:t>
      </w:r>
      <w:r w:rsidR="008B3855" w:rsidRPr="00344B9B">
        <w:rPr>
          <w:rFonts w:ascii="仿宋" w:eastAsia="仿宋" w:hAnsi="仿宋" w:hint="eastAsia"/>
          <w:sz w:val="32"/>
        </w:rPr>
        <w:t>应列明公司的基本信息</w:t>
      </w:r>
      <w:r w:rsidR="00D21C31" w:rsidRPr="00344B9B">
        <w:rPr>
          <w:rFonts w:ascii="仿宋" w:eastAsia="仿宋" w:hAnsi="仿宋" w:hint="eastAsia"/>
          <w:sz w:val="32"/>
        </w:rPr>
        <w:t>，包括但不限于公司的名称、住所、 注册资本、存续期限 、经营范围</w:t>
      </w:r>
      <w:r w:rsidR="0039055D" w:rsidRPr="00344B9B">
        <w:rPr>
          <w:rFonts w:ascii="仿宋" w:eastAsia="仿宋" w:hAnsi="仿宋" w:hint="eastAsia"/>
          <w:sz w:val="32"/>
        </w:rPr>
        <w:t>（应含有“投资”、“基金”、“资产管理”等能体现私募投资基金性质的字样）</w:t>
      </w:r>
      <w:r w:rsidR="00D21C31" w:rsidRPr="00344B9B">
        <w:rPr>
          <w:rFonts w:ascii="仿宋" w:eastAsia="仿宋" w:hAnsi="仿宋" w:hint="eastAsia"/>
          <w:sz w:val="32"/>
        </w:rPr>
        <w:t>、股东姓名/名称</w:t>
      </w:r>
      <w:r w:rsidR="00A23B74" w:rsidRPr="00344B9B">
        <w:rPr>
          <w:rFonts w:ascii="仿宋" w:eastAsia="仿宋" w:hAnsi="仿宋" w:hint="eastAsia"/>
          <w:sz w:val="32"/>
        </w:rPr>
        <w:t>、住所</w:t>
      </w:r>
      <w:r w:rsidR="008B3855" w:rsidRPr="00344B9B">
        <w:rPr>
          <w:rFonts w:ascii="仿宋" w:eastAsia="仿宋" w:hAnsi="仿宋" w:hint="eastAsia"/>
          <w:sz w:val="32"/>
        </w:rPr>
        <w:t>等</w:t>
      </w:r>
      <w:r w:rsidR="000015E7" w:rsidRPr="00344B9B">
        <w:rPr>
          <w:rFonts w:ascii="仿宋" w:eastAsia="仿宋" w:hAnsi="仿宋" w:hint="eastAsia"/>
          <w:sz w:val="32"/>
        </w:rPr>
        <w:t>，同时可以对变更该等信息的条件作出说明。</w:t>
      </w:r>
    </w:p>
    <w:p w:rsidR="00D21C31" w:rsidRDefault="00D21C31" w:rsidP="004921B4">
      <w:pPr>
        <w:pStyle w:val="11"/>
        <w:numPr>
          <w:ilvl w:val="2"/>
          <w:numId w:val="4"/>
        </w:numPr>
        <w:spacing w:before="0" w:after="0"/>
        <w:ind w:left="0" w:firstLine="640"/>
        <w:rPr>
          <w:rFonts w:ascii="仿宋" w:eastAsia="仿宋" w:hAnsi="仿宋"/>
          <w:sz w:val="32"/>
        </w:rPr>
      </w:pPr>
      <w:r w:rsidRPr="00344B9B">
        <w:rPr>
          <w:rFonts w:ascii="仿宋" w:eastAsia="仿宋" w:hAnsi="仿宋" w:hint="eastAsia"/>
          <w:sz w:val="32"/>
        </w:rPr>
        <w:t>【</w:t>
      </w:r>
      <w:r w:rsidR="00942B6B" w:rsidRPr="00344B9B">
        <w:rPr>
          <w:rFonts w:ascii="仿宋" w:eastAsia="仿宋" w:hAnsi="仿宋" w:hint="eastAsia"/>
          <w:sz w:val="32"/>
        </w:rPr>
        <w:t>股东出资</w:t>
      </w:r>
      <w:r w:rsidRPr="00344B9B">
        <w:rPr>
          <w:rFonts w:ascii="仿宋" w:eastAsia="仿宋" w:hAnsi="仿宋" w:hint="eastAsia"/>
          <w:sz w:val="32"/>
        </w:rPr>
        <w:t>】</w:t>
      </w:r>
      <w:r w:rsidR="00942B6B" w:rsidRPr="00344B9B">
        <w:rPr>
          <w:rFonts w:ascii="仿宋" w:eastAsia="仿宋" w:hAnsi="仿宋" w:hint="eastAsia"/>
          <w:sz w:val="32"/>
        </w:rPr>
        <w:t>章程应列明</w:t>
      </w:r>
      <w:r w:rsidRPr="00344B9B">
        <w:rPr>
          <w:rFonts w:ascii="仿宋" w:eastAsia="仿宋" w:hAnsi="仿宋" w:hint="eastAsia"/>
          <w:sz w:val="32"/>
        </w:rPr>
        <w:t>股东的出资方式、数额、</w:t>
      </w:r>
      <w:r w:rsidR="00942B6B" w:rsidRPr="00344B9B">
        <w:rPr>
          <w:rFonts w:ascii="仿宋" w:eastAsia="仿宋" w:hAnsi="仿宋" w:hint="eastAsia"/>
          <w:sz w:val="32"/>
        </w:rPr>
        <w:t>比例和</w:t>
      </w:r>
      <w:r w:rsidRPr="00344B9B">
        <w:rPr>
          <w:rFonts w:ascii="仿宋" w:eastAsia="仿宋" w:hAnsi="仿宋" w:hint="eastAsia"/>
          <w:sz w:val="32"/>
        </w:rPr>
        <w:t>缴付期限。</w:t>
      </w:r>
    </w:p>
    <w:p w:rsidR="008134A2" w:rsidRDefault="008134A2" w:rsidP="004921B4">
      <w:pPr>
        <w:pStyle w:val="11"/>
        <w:numPr>
          <w:ilvl w:val="2"/>
          <w:numId w:val="4"/>
        </w:numPr>
        <w:spacing w:before="0" w:after="0"/>
        <w:ind w:left="0" w:firstLine="640"/>
        <w:rPr>
          <w:rFonts w:ascii="仿宋" w:eastAsia="仿宋" w:hAnsi="仿宋"/>
          <w:sz w:val="32"/>
        </w:rPr>
      </w:pPr>
      <w:r w:rsidRPr="00344B9B">
        <w:rPr>
          <w:rFonts w:ascii="仿宋" w:eastAsia="仿宋" w:hAnsi="仿宋" w:hint="eastAsia"/>
          <w:sz w:val="32"/>
        </w:rPr>
        <w:t>【股东的权利义务</w:t>
      </w:r>
      <w:r w:rsidR="00AB189D" w:rsidRPr="00344B9B">
        <w:rPr>
          <w:rFonts w:ascii="仿宋" w:eastAsia="仿宋" w:hAnsi="仿宋" w:hint="eastAsia"/>
          <w:sz w:val="32"/>
        </w:rPr>
        <w:t>】</w:t>
      </w:r>
      <w:r w:rsidRPr="00344B9B">
        <w:rPr>
          <w:rFonts w:ascii="仿宋" w:eastAsia="仿宋" w:hAnsi="仿宋" w:hint="eastAsia"/>
          <w:sz w:val="32"/>
        </w:rPr>
        <w:t>章程应列明股东的基本权利、义务及股东行使知情权的具体方式。</w:t>
      </w:r>
    </w:p>
    <w:p w:rsidR="00D21C31" w:rsidRDefault="00D21C31" w:rsidP="004921B4">
      <w:pPr>
        <w:pStyle w:val="11"/>
        <w:numPr>
          <w:ilvl w:val="2"/>
          <w:numId w:val="4"/>
        </w:numPr>
        <w:spacing w:before="0" w:after="0"/>
        <w:ind w:left="0" w:firstLine="640"/>
        <w:rPr>
          <w:rFonts w:ascii="仿宋" w:eastAsia="仿宋" w:hAnsi="仿宋"/>
          <w:sz w:val="32"/>
        </w:rPr>
      </w:pPr>
      <w:r w:rsidRPr="00344B9B">
        <w:rPr>
          <w:rFonts w:ascii="仿宋" w:eastAsia="仿宋" w:hAnsi="仿宋" w:hint="eastAsia"/>
          <w:sz w:val="32"/>
        </w:rPr>
        <w:t>【</w:t>
      </w:r>
      <w:r w:rsidR="00B309C0" w:rsidRPr="00344B9B">
        <w:rPr>
          <w:rFonts w:ascii="仿宋" w:eastAsia="仿宋" w:hAnsi="仿宋" w:hint="eastAsia"/>
          <w:sz w:val="32"/>
        </w:rPr>
        <w:t>入股、退股及转让</w:t>
      </w:r>
      <w:r w:rsidRPr="00344B9B">
        <w:rPr>
          <w:rFonts w:ascii="仿宋" w:eastAsia="仿宋" w:hAnsi="仿宋" w:hint="eastAsia"/>
          <w:sz w:val="32"/>
        </w:rPr>
        <w:t>】</w:t>
      </w:r>
      <w:r w:rsidR="00B309C0" w:rsidRPr="00344B9B">
        <w:rPr>
          <w:rFonts w:ascii="仿宋" w:eastAsia="仿宋" w:hAnsi="仿宋" w:hint="eastAsia"/>
          <w:sz w:val="32"/>
        </w:rPr>
        <w:t>章程应列</w:t>
      </w:r>
      <w:r w:rsidR="00B1107D" w:rsidRPr="00344B9B">
        <w:rPr>
          <w:rFonts w:ascii="仿宋" w:eastAsia="仿宋" w:hAnsi="仿宋" w:hint="eastAsia"/>
          <w:sz w:val="32"/>
        </w:rPr>
        <w:t>明</w:t>
      </w:r>
      <w:r w:rsidR="00B309C0" w:rsidRPr="00344B9B">
        <w:rPr>
          <w:rFonts w:ascii="仿宋" w:eastAsia="仿宋" w:hAnsi="仿宋" w:hint="eastAsia"/>
          <w:sz w:val="32"/>
        </w:rPr>
        <w:t>股东</w:t>
      </w:r>
      <w:r w:rsidRPr="00344B9B">
        <w:rPr>
          <w:rFonts w:ascii="仿宋" w:eastAsia="仿宋" w:hAnsi="仿宋" w:hint="eastAsia"/>
          <w:sz w:val="32"/>
        </w:rPr>
        <w:t>增资</w:t>
      </w:r>
      <w:r w:rsidR="008134A2" w:rsidRPr="00344B9B">
        <w:rPr>
          <w:rFonts w:ascii="仿宋" w:eastAsia="仿宋" w:hAnsi="仿宋" w:hint="eastAsia"/>
          <w:sz w:val="32"/>
        </w:rPr>
        <w:t>、减资、</w:t>
      </w:r>
      <w:r w:rsidRPr="00344B9B">
        <w:rPr>
          <w:rFonts w:ascii="仿宋" w:eastAsia="仿宋" w:hAnsi="仿宋" w:hint="eastAsia"/>
          <w:sz w:val="32"/>
        </w:rPr>
        <w:t>入股、</w:t>
      </w:r>
      <w:r w:rsidR="00B309C0" w:rsidRPr="00344B9B">
        <w:rPr>
          <w:rFonts w:ascii="仿宋" w:eastAsia="仿宋" w:hAnsi="仿宋" w:hint="eastAsia"/>
          <w:sz w:val="32"/>
        </w:rPr>
        <w:t>退股及</w:t>
      </w:r>
      <w:r w:rsidRPr="00344B9B">
        <w:rPr>
          <w:rFonts w:ascii="仿宋" w:eastAsia="仿宋" w:hAnsi="仿宋" w:hint="eastAsia"/>
          <w:sz w:val="32"/>
        </w:rPr>
        <w:t>股权转让的条件及程序。</w:t>
      </w:r>
    </w:p>
    <w:p w:rsidR="00D21C31" w:rsidRDefault="00D21C31" w:rsidP="004921B4">
      <w:pPr>
        <w:pStyle w:val="11"/>
        <w:numPr>
          <w:ilvl w:val="2"/>
          <w:numId w:val="4"/>
        </w:numPr>
        <w:spacing w:before="0" w:after="0"/>
        <w:ind w:left="0" w:firstLine="640"/>
        <w:rPr>
          <w:rFonts w:ascii="仿宋" w:eastAsia="仿宋" w:hAnsi="仿宋"/>
          <w:sz w:val="32"/>
        </w:rPr>
      </w:pPr>
      <w:r w:rsidRPr="00344B9B">
        <w:rPr>
          <w:rFonts w:ascii="仿宋" w:eastAsia="仿宋" w:hAnsi="仿宋" w:hint="eastAsia"/>
          <w:sz w:val="32"/>
        </w:rPr>
        <w:t>【</w:t>
      </w:r>
      <w:r w:rsidR="00B309C0" w:rsidRPr="00344B9B">
        <w:rPr>
          <w:rFonts w:ascii="仿宋" w:eastAsia="仿宋" w:hAnsi="仿宋" w:hint="eastAsia"/>
          <w:sz w:val="32"/>
        </w:rPr>
        <w:t>股东（大）会</w:t>
      </w:r>
      <w:r w:rsidRPr="00344B9B">
        <w:rPr>
          <w:rFonts w:ascii="仿宋" w:eastAsia="仿宋" w:hAnsi="仿宋" w:hint="eastAsia"/>
          <w:sz w:val="32"/>
        </w:rPr>
        <w:t>】</w:t>
      </w:r>
      <w:r w:rsidR="00B309C0" w:rsidRPr="00344B9B">
        <w:rPr>
          <w:rFonts w:ascii="仿宋" w:eastAsia="仿宋" w:hAnsi="仿宋" w:hint="eastAsia"/>
          <w:sz w:val="32"/>
        </w:rPr>
        <w:t>章程应列明</w:t>
      </w:r>
      <w:r w:rsidRPr="00344B9B">
        <w:rPr>
          <w:rFonts w:ascii="仿宋" w:eastAsia="仿宋" w:hAnsi="仿宋" w:hint="eastAsia"/>
          <w:sz w:val="32"/>
        </w:rPr>
        <w:t>股东（大）会的职权、召集程序及议事规则等。</w:t>
      </w:r>
    </w:p>
    <w:p w:rsidR="00D21C31" w:rsidRDefault="00D21C31" w:rsidP="004921B4">
      <w:pPr>
        <w:pStyle w:val="11"/>
        <w:numPr>
          <w:ilvl w:val="2"/>
          <w:numId w:val="4"/>
        </w:numPr>
        <w:spacing w:before="0" w:after="0"/>
        <w:ind w:left="0" w:firstLine="640"/>
        <w:rPr>
          <w:rFonts w:ascii="仿宋" w:eastAsia="仿宋" w:hAnsi="仿宋"/>
          <w:sz w:val="32"/>
        </w:rPr>
      </w:pPr>
      <w:r w:rsidRPr="00344B9B">
        <w:rPr>
          <w:rFonts w:ascii="仿宋" w:eastAsia="仿宋" w:hAnsi="仿宋" w:hint="eastAsia"/>
          <w:sz w:val="32"/>
        </w:rPr>
        <w:t>【</w:t>
      </w:r>
      <w:r w:rsidR="00B309C0" w:rsidRPr="00344B9B">
        <w:rPr>
          <w:rFonts w:ascii="仿宋" w:eastAsia="仿宋" w:hAnsi="仿宋" w:hint="eastAsia"/>
          <w:sz w:val="32"/>
        </w:rPr>
        <w:t>高级管理人员</w:t>
      </w:r>
      <w:r w:rsidRPr="00344B9B">
        <w:rPr>
          <w:rFonts w:ascii="仿宋" w:eastAsia="仿宋" w:hAnsi="仿宋" w:hint="eastAsia"/>
          <w:sz w:val="32"/>
        </w:rPr>
        <w:t>】</w:t>
      </w:r>
      <w:r w:rsidR="00B309C0" w:rsidRPr="00344B9B">
        <w:rPr>
          <w:rFonts w:ascii="仿宋" w:eastAsia="仿宋" w:hAnsi="仿宋" w:hint="eastAsia"/>
          <w:sz w:val="32"/>
        </w:rPr>
        <w:t>章程应列明</w:t>
      </w:r>
      <w:r w:rsidRPr="00344B9B">
        <w:rPr>
          <w:rFonts w:ascii="仿宋" w:eastAsia="仿宋" w:hAnsi="仿宋" w:hint="eastAsia"/>
          <w:sz w:val="32"/>
        </w:rPr>
        <w:t>董事会或执行董事、监事（会）及</w:t>
      </w:r>
      <w:r w:rsidR="00B309C0" w:rsidRPr="00344B9B">
        <w:rPr>
          <w:rFonts w:ascii="仿宋" w:eastAsia="仿宋" w:hAnsi="仿宋" w:hint="eastAsia"/>
          <w:sz w:val="32"/>
        </w:rPr>
        <w:t>其他</w:t>
      </w:r>
      <w:r w:rsidRPr="00344B9B">
        <w:rPr>
          <w:rFonts w:ascii="仿宋" w:eastAsia="仿宋" w:hAnsi="仿宋" w:hint="eastAsia"/>
          <w:sz w:val="32"/>
        </w:rPr>
        <w:t>高级管理人员的产生办法、职权、召集程序、任期及议事规则等。</w:t>
      </w:r>
    </w:p>
    <w:p w:rsidR="00D21C31" w:rsidRDefault="00D21C31" w:rsidP="004921B4">
      <w:pPr>
        <w:pStyle w:val="11"/>
        <w:numPr>
          <w:ilvl w:val="2"/>
          <w:numId w:val="4"/>
        </w:numPr>
        <w:spacing w:before="0" w:after="0"/>
        <w:ind w:left="0" w:firstLine="640"/>
        <w:rPr>
          <w:rFonts w:ascii="仿宋" w:eastAsia="仿宋" w:hAnsi="仿宋"/>
          <w:sz w:val="32"/>
        </w:rPr>
      </w:pPr>
      <w:r w:rsidRPr="00344B9B">
        <w:rPr>
          <w:rFonts w:ascii="仿宋" w:eastAsia="仿宋" w:hAnsi="仿宋" w:hint="eastAsia"/>
          <w:sz w:val="32"/>
        </w:rPr>
        <w:t>【</w:t>
      </w:r>
      <w:r w:rsidR="00B309C0" w:rsidRPr="00344B9B">
        <w:rPr>
          <w:rFonts w:ascii="仿宋" w:eastAsia="仿宋" w:hAnsi="仿宋" w:hint="eastAsia"/>
          <w:sz w:val="32"/>
        </w:rPr>
        <w:t>投资</w:t>
      </w:r>
      <w:r w:rsidR="0039055D" w:rsidRPr="00344B9B">
        <w:rPr>
          <w:rFonts w:ascii="仿宋" w:eastAsia="仿宋" w:hAnsi="仿宋" w:hint="eastAsia"/>
          <w:sz w:val="32"/>
        </w:rPr>
        <w:t>事项</w:t>
      </w:r>
      <w:r w:rsidRPr="00344B9B">
        <w:rPr>
          <w:rFonts w:ascii="仿宋" w:eastAsia="仿宋" w:hAnsi="仿宋" w:hint="eastAsia"/>
          <w:sz w:val="32"/>
        </w:rPr>
        <w:t>】</w:t>
      </w:r>
      <w:r w:rsidR="00B309C0" w:rsidRPr="00344B9B">
        <w:rPr>
          <w:rFonts w:ascii="仿宋" w:eastAsia="仿宋" w:hAnsi="仿宋" w:hint="eastAsia"/>
          <w:sz w:val="32"/>
        </w:rPr>
        <w:t>章程应列明</w:t>
      </w:r>
      <w:r w:rsidR="00AB189D" w:rsidRPr="00344B9B">
        <w:rPr>
          <w:rFonts w:ascii="仿宋" w:eastAsia="仿宋" w:hAnsi="仿宋" w:hint="eastAsia"/>
          <w:sz w:val="32"/>
        </w:rPr>
        <w:t>本公司型</w:t>
      </w:r>
      <w:r w:rsidRPr="00344B9B">
        <w:rPr>
          <w:rFonts w:ascii="仿宋" w:eastAsia="仿宋" w:hAnsi="仿宋" w:hint="eastAsia"/>
          <w:sz w:val="32"/>
        </w:rPr>
        <w:t>基金的投资范围、投资策略、投资运作方式、</w:t>
      </w:r>
      <w:r w:rsidR="008134A2" w:rsidRPr="00344B9B">
        <w:rPr>
          <w:rFonts w:ascii="仿宋" w:eastAsia="仿宋" w:hAnsi="仿宋" w:hint="eastAsia"/>
          <w:sz w:val="32"/>
        </w:rPr>
        <w:t>投资限制、</w:t>
      </w:r>
      <w:r w:rsidRPr="00344B9B">
        <w:rPr>
          <w:rFonts w:ascii="仿宋" w:eastAsia="仿宋" w:hAnsi="仿宋" w:hint="eastAsia"/>
          <w:sz w:val="32"/>
        </w:rPr>
        <w:t>投资决策程序</w:t>
      </w:r>
      <w:r w:rsidR="008134A2" w:rsidRPr="00344B9B">
        <w:rPr>
          <w:rFonts w:ascii="仿宋" w:eastAsia="仿宋" w:hAnsi="仿宋" w:hint="eastAsia"/>
          <w:sz w:val="32"/>
        </w:rPr>
        <w:t>、关联方认定标准及对关联方投资的回避制度、投资后对被投资企业的持续监控、投资风险防范、投资退出等</w:t>
      </w:r>
      <w:r w:rsidRPr="00344B9B">
        <w:rPr>
          <w:rFonts w:ascii="仿宋" w:eastAsia="仿宋" w:hAnsi="仿宋" w:hint="eastAsia"/>
          <w:sz w:val="32"/>
        </w:rPr>
        <w:t>。</w:t>
      </w:r>
    </w:p>
    <w:p w:rsidR="00D21C31" w:rsidRDefault="00D21C31" w:rsidP="004921B4">
      <w:pPr>
        <w:pStyle w:val="11"/>
        <w:numPr>
          <w:ilvl w:val="2"/>
          <w:numId w:val="4"/>
        </w:numPr>
        <w:spacing w:before="0" w:after="0"/>
        <w:ind w:left="0" w:firstLine="640"/>
        <w:rPr>
          <w:rFonts w:ascii="仿宋" w:eastAsia="仿宋" w:hAnsi="仿宋"/>
          <w:sz w:val="32"/>
        </w:rPr>
      </w:pPr>
      <w:r w:rsidRPr="00344B9B">
        <w:rPr>
          <w:rFonts w:ascii="仿宋" w:eastAsia="仿宋" w:hAnsi="仿宋" w:hint="eastAsia"/>
          <w:sz w:val="32"/>
        </w:rPr>
        <w:t>【</w:t>
      </w:r>
      <w:r w:rsidR="00C20B86" w:rsidRPr="00344B9B">
        <w:rPr>
          <w:rFonts w:ascii="仿宋" w:eastAsia="仿宋" w:hAnsi="仿宋" w:hint="eastAsia"/>
          <w:sz w:val="32"/>
        </w:rPr>
        <w:t>管理</w:t>
      </w:r>
      <w:r w:rsidR="00682D10" w:rsidRPr="00344B9B">
        <w:rPr>
          <w:rFonts w:ascii="仿宋" w:eastAsia="仿宋" w:hAnsi="仿宋" w:hint="eastAsia"/>
          <w:sz w:val="32"/>
        </w:rPr>
        <w:t>方式</w:t>
      </w:r>
      <w:r w:rsidRPr="00344B9B">
        <w:rPr>
          <w:rFonts w:ascii="仿宋" w:eastAsia="仿宋" w:hAnsi="仿宋" w:hint="eastAsia"/>
          <w:sz w:val="32"/>
        </w:rPr>
        <w:t>】</w:t>
      </w:r>
      <w:r w:rsidR="00AB189D" w:rsidRPr="00344B9B">
        <w:rPr>
          <w:rFonts w:ascii="仿宋" w:eastAsia="仿宋" w:hAnsi="仿宋" w:hint="eastAsia"/>
          <w:sz w:val="32"/>
        </w:rPr>
        <w:t>公司型基金可以采取自我管理，也可以委托</w:t>
      </w:r>
      <w:r w:rsidR="004E2B69" w:rsidRPr="00344B9B">
        <w:rPr>
          <w:rFonts w:ascii="仿宋" w:eastAsia="仿宋" w:hAnsi="仿宋" w:hint="eastAsia"/>
          <w:sz w:val="32"/>
        </w:rPr>
        <w:t>其他私募基金管理机构</w:t>
      </w:r>
      <w:r w:rsidR="00AB189D" w:rsidRPr="00344B9B">
        <w:rPr>
          <w:rFonts w:ascii="仿宋" w:eastAsia="仿宋" w:hAnsi="仿宋" w:hint="eastAsia"/>
          <w:sz w:val="32"/>
        </w:rPr>
        <w:t>管理。</w:t>
      </w:r>
      <w:r w:rsidR="00682D10" w:rsidRPr="00344B9B">
        <w:rPr>
          <w:rFonts w:ascii="仿宋" w:eastAsia="仿宋" w:hAnsi="仿宋" w:hint="eastAsia"/>
          <w:sz w:val="32"/>
        </w:rPr>
        <w:t>采取自我管理</w:t>
      </w:r>
      <w:r w:rsidR="007202CE" w:rsidRPr="00344B9B">
        <w:rPr>
          <w:rFonts w:ascii="仿宋" w:eastAsia="仿宋" w:hAnsi="仿宋" w:hint="eastAsia"/>
          <w:sz w:val="32"/>
        </w:rPr>
        <w:t>方式的</w:t>
      </w:r>
      <w:r w:rsidR="00682D10" w:rsidRPr="00344B9B">
        <w:rPr>
          <w:rFonts w:ascii="仿宋" w:eastAsia="仿宋" w:hAnsi="仿宋" w:hint="eastAsia"/>
          <w:sz w:val="32"/>
        </w:rPr>
        <w:t>，</w:t>
      </w:r>
      <w:r w:rsidR="00F43991" w:rsidRPr="00344B9B">
        <w:rPr>
          <w:rFonts w:ascii="仿宋" w:eastAsia="仿宋" w:hAnsi="仿宋" w:hint="eastAsia"/>
          <w:sz w:val="32"/>
        </w:rPr>
        <w:lastRenderedPageBreak/>
        <w:t>章程中</w:t>
      </w:r>
      <w:r w:rsidR="00682D10" w:rsidRPr="00344B9B">
        <w:rPr>
          <w:rFonts w:ascii="仿宋" w:eastAsia="仿宋" w:hAnsi="仿宋" w:hint="eastAsia"/>
          <w:sz w:val="32"/>
        </w:rPr>
        <w:t>应当明确</w:t>
      </w:r>
      <w:r w:rsidR="008134A2" w:rsidRPr="00344B9B">
        <w:rPr>
          <w:rFonts w:ascii="仿宋" w:eastAsia="仿宋" w:hAnsi="仿宋" w:hint="eastAsia"/>
          <w:sz w:val="32"/>
        </w:rPr>
        <w:t>管理架构和投资决策程序</w:t>
      </w:r>
      <w:r w:rsidR="007202CE" w:rsidRPr="00344B9B">
        <w:rPr>
          <w:rFonts w:ascii="仿宋" w:eastAsia="仿宋" w:hAnsi="仿宋" w:hint="eastAsia"/>
          <w:sz w:val="32"/>
        </w:rPr>
        <w:t>；</w:t>
      </w:r>
      <w:r w:rsidR="00682D10" w:rsidRPr="00344B9B">
        <w:rPr>
          <w:rFonts w:ascii="仿宋" w:eastAsia="仿宋" w:hAnsi="仿宋" w:hint="eastAsia"/>
          <w:sz w:val="32"/>
        </w:rPr>
        <w:t>采取委托管理</w:t>
      </w:r>
      <w:r w:rsidR="007202CE" w:rsidRPr="00344B9B">
        <w:rPr>
          <w:rFonts w:ascii="仿宋" w:eastAsia="仿宋" w:hAnsi="仿宋" w:hint="eastAsia"/>
          <w:sz w:val="32"/>
        </w:rPr>
        <w:t>方式</w:t>
      </w:r>
      <w:r w:rsidR="00682D10" w:rsidRPr="00344B9B">
        <w:rPr>
          <w:rFonts w:ascii="仿宋" w:eastAsia="仿宋" w:hAnsi="仿宋" w:hint="eastAsia"/>
          <w:sz w:val="32"/>
        </w:rPr>
        <w:t>的，</w:t>
      </w:r>
      <w:r w:rsidR="00F43991" w:rsidRPr="00344B9B">
        <w:rPr>
          <w:rFonts w:ascii="仿宋" w:eastAsia="仿宋" w:hAnsi="仿宋" w:hint="eastAsia"/>
          <w:sz w:val="32"/>
        </w:rPr>
        <w:t>章程中应当明确管理人</w:t>
      </w:r>
      <w:r w:rsidR="007202CE" w:rsidRPr="00344B9B">
        <w:rPr>
          <w:rFonts w:ascii="仿宋" w:eastAsia="仿宋" w:hAnsi="仿宋" w:hint="eastAsia"/>
          <w:sz w:val="32"/>
        </w:rPr>
        <w:t>的名称</w:t>
      </w:r>
      <w:r w:rsidR="00F43991" w:rsidRPr="00344B9B">
        <w:rPr>
          <w:rFonts w:ascii="仿宋" w:eastAsia="仿宋" w:hAnsi="仿宋" w:hint="eastAsia"/>
          <w:sz w:val="32"/>
        </w:rPr>
        <w:t>，并列名管理人的权限及管理费的计算和支付方式</w:t>
      </w:r>
      <w:r w:rsidRPr="00344B9B">
        <w:rPr>
          <w:rFonts w:ascii="仿宋" w:eastAsia="仿宋" w:hAnsi="仿宋" w:hint="eastAsia"/>
          <w:sz w:val="32"/>
        </w:rPr>
        <w:t>。</w:t>
      </w:r>
    </w:p>
    <w:p w:rsidR="004E2B69" w:rsidRDefault="00D21C31" w:rsidP="004921B4">
      <w:pPr>
        <w:pStyle w:val="11"/>
        <w:numPr>
          <w:ilvl w:val="2"/>
          <w:numId w:val="4"/>
        </w:numPr>
        <w:spacing w:before="0" w:after="0"/>
        <w:ind w:left="0" w:firstLine="640"/>
        <w:rPr>
          <w:rFonts w:ascii="仿宋" w:eastAsia="仿宋" w:hAnsi="仿宋"/>
          <w:sz w:val="32"/>
        </w:rPr>
      </w:pPr>
      <w:r w:rsidRPr="00344B9B">
        <w:rPr>
          <w:rFonts w:ascii="仿宋" w:eastAsia="仿宋" w:hAnsi="仿宋" w:hint="eastAsia"/>
          <w:sz w:val="32"/>
        </w:rPr>
        <w:t>【</w:t>
      </w:r>
      <w:r w:rsidR="00942B6B" w:rsidRPr="00344B9B">
        <w:rPr>
          <w:rFonts w:ascii="仿宋" w:eastAsia="仿宋" w:hAnsi="仿宋" w:hint="eastAsia"/>
          <w:sz w:val="32"/>
        </w:rPr>
        <w:t>托管</w:t>
      </w:r>
      <w:r w:rsidR="0039055D" w:rsidRPr="00344B9B">
        <w:rPr>
          <w:rFonts w:ascii="仿宋" w:eastAsia="仿宋" w:hAnsi="仿宋" w:hint="eastAsia"/>
          <w:sz w:val="32"/>
        </w:rPr>
        <w:t>事项</w:t>
      </w:r>
      <w:r w:rsidRPr="00344B9B">
        <w:rPr>
          <w:rFonts w:ascii="仿宋" w:eastAsia="仿宋" w:hAnsi="仿宋" w:hint="eastAsia"/>
          <w:sz w:val="32"/>
        </w:rPr>
        <w:t>】</w:t>
      </w:r>
      <w:r w:rsidR="00942B6B" w:rsidRPr="00344B9B">
        <w:rPr>
          <w:rFonts w:ascii="仿宋" w:eastAsia="仿宋" w:hAnsi="仿宋" w:hint="eastAsia"/>
          <w:sz w:val="32"/>
        </w:rPr>
        <w:t>公司</w:t>
      </w:r>
      <w:r w:rsidR="004E2B69" w:rsidRPr="00344B9B">
        <w:rPr>
          <w:rFonts w:ascii="仿宋" w:eastAsia="仿宋" w:hAnsi="仿宋" w:hint="eastAsia"/>
          <w:sz w:val="32"/>
        </w:rPr>
        <w:t>财产进行托管</w:t>
      </w:r>
      <w:r w:rsidRPr="00344B9B">
        <w:rPr>
          <w:rFonts w:ascii="仿宋" w:eastAsia="仿宋" w:hAnsi="仿宋" w:hint="eastAsia"/>
          <w:sz w:val="32"/>
        </w:rPr>
        <w:t>的，应</w:t>
      </w:r>
      <w:r w:rsidR="00942B6B" w:rsidRPr="00344B9B">
        <w:rPr>
          <w:rFonts w:ascii="仿宋" w:eastAsia="仿宋" w:hAnsi="仿宋" w:hint="eastAsia"/>
          <w:sz w:val="32"/>
        </w:rPr>
        <w:t>在章程中</w:t>
      </w:r>
      <w:r w:rsidRPr="00344B9B">
        <w:rPr>
          <w:rFonts w:ascii="仿宋" w:eastAsia="仿宋" w:hAnsi="仿宋" w:hint="eastAsia"/>
          <w:sz w:val="32"/>
        </w:rPr>
        <w:t>明确托管机构</w:t>
      </w:r>
      <w:r w:rsidR="004E2B69" w:rsidRPr="00344B9B">
        <w:rPr>
          <w:rFonts w:ascii="仿宋" w:eastAsia="仿宋" w:hAnsi="仿宋" w:hint="eastAsia"/>
          <w:sz w:val="32"/>
        </w:rPr>
        <w:t>的名称</w:t>
      </w:r>
      <w:r w:rsidR="002A47C0">
        <w:rPr>
          <w:rFonts w:ascii="仿宋_GB2312" w:eastAsia="仿宋_GB2312" w:hAnsi="仿宋" w:hint="eastAsia"/>
          <w:sz w:val="32"/>
          <w:szCs w:val="32"/>
        </w:rPr>
        <w:t>或明确全体股东在托管事宜上对董事会/执行董事的授权范围，包括但不限于挑选托管人、签署托管协议等。</w:t>
      </w:r>
    </w:p>
    <w:p w:rsidR="00D21C31" w:rsidRDefault="004E2B69" w:rsidP="004921B4">
      <w:pPr>
        <w:pStyle w:val="11"/>
        <w:spacing w:before="0" w:after="0"/>
        <w:ind w:firstLine="640"/>
        <w:rPr>
          <w:rFonts w:ascii="仿宋" w:eastAsia="仿宋" w:hAnsi="仿宋"/>
          <w:sz w:val="32"/>
        </w:rPr>
      </w:pPr>
      <w:r w:rsidRPr="00344B9B">
        <w:rPr>
          <w:rFonts w:ascii="仿宋" w:eastAsia="仿宋" w:hAnsi="仿宋" w:hint="eastAsia"/>
          <w:sz w:val="32"/>
        </w:rPr>
        <w:t>公司全体股东一致同意不托管的，应在</w:t>
      </w:r>
      <w:r w:rsidR="00D21C31" w:rsidRPr="00344B9B">
        <w:rPr>
          <w:rFonts w:ascii="仿宋" w:eastAsia="仿宋" w:hAnsi="仿宋" w:hint="eastAsia"/>
          <w:sz w:val="32"/>
        </w:rPr>
        <w:t>章程中</w:t>
      </w:r>
      <w:r w:rsidRPr="00344B9B">
        <w:rPr>
          <w:rFonts w:ascii="仿宋" w:eastAsia="仿宋" w:hAnsi="仿宋" w:hint="eastAsia"/>
          <w:sz w:val="32"/>
        </w:rPr>
        <w:t>明确约定本公司型基金不进行托管，</w:t>
      </w:r>
      <w:r w:rsidR="00D21C31" w:rsidRPr="00344B9B">
        <w:rPr>
          <w:rFonts w:ascii="仿宋" w:eastAsia="仿宋" w:hAnsi="仿宋" w:hint="eastAsia"/>
          <w:sz w:val="32"/>
        </w:rPr>
        <w:t>并明确保障投资基金财产安全的制度措施和纠纷解决机制。</w:t>
      </w:r>
    </w:p>
    <w:p w:rsidR="00D21C31" w:rsidRDefault="00D21C31" w:rsidP="004921B4">
      <w:pPr>
        <w:pStyle w:val="11"/>
        <w:numPr>
          <w:ilvl w:val="2"/>
          <w:numId w:val="4"/>
        </w:numPr>
        <w:spacing w:before="0" w:after="0"/>
        <w:ind w:left="0" w:firstLine="640"/>
        <w:rPr>
          <w:rFonts w:ascii="仿宋" w:eastAsia="仿宋" w:hAnsi="仿宋"/>
          <w:sz w:val="32"/>
        </w:rPr>
      </w:pPr>
      <w:r w:rsidRPr="00344B9B">
        <w:rPr>
          <w:rFonts w:ascii="仿宋" w:eastAsia="仿宋" w:hAnsi="仿宋" w:hint="eastAsia"/>
          <w:sz w:val="32"/>
        </w:rPr>
        <w:t>【</w:t>
      </w:r>
      <w:r w:rsidR="00942B6B" w:rsidRPr="00344B9B">
        <w:rPr>
          <w:rFonts w:ascii="仿宋" w:eastAsia="仿宋" w:hAnsi="仿宋" w:hint="eastAsia"/>
          <w:sz w:val="32"/>
        </w:rPr>
        <w:t>利润分配及亏损分担</w:t>
      </w:r>
      <w:r w:rsidRPr="00344B9B">
        <w:rPr>
          <w:rFonts w:ascii="仿宋" w:eastAsia="仿宋" w:hAnsi="仿宋" w:hint="eastAsia"/>
          <w:sz w:val="32"/>
        </w:rPr>
        <w:t>】</w:t>
      </w:r>
      <w:r w:rsidR="00942B6B" w:rsidRPr="00344B9B">
        <w:rPr>
          <w:rFonts w:ascii="仿宋" w:eastAsia="仿宋" w:hAnsi="仿宋" w:hint="eastAsia"/>
          <w:sz w:val="32"/>
        </w:rPr>
        <w:t>章程应列明公司</w:t>
      </w:r>
      <w:r w:rsidRPr="00344B9B">
        <w:rPr>
          <w:rFonts w:ascii="仿宋" w:eastAsia="仿宋" w:hAnsi="仿宋" w:hint="eastAsia"/>
          <w:sz w:val="32"/>
        </w:rPr>
        <w:t>的利润分配和亏损分担原则及执行方式。</w:t>
      </w:r>
    </w:p>
    <w:p w:rsidR="00D21C31" w:rsidRDefault="00D21C31" w:rsidP="004921B4">
      <w:pPr>
        <w:pStyle w:val="11"/>
        <w:numPr>
          <w:ilvl w:val="2"/>
          <w:numId w:val="4"/>
        </w:numPr>
        <w:spacing w:before="0" w:after="0"/>
        <w:ind w:left="0" w:firstLine="640"/>
        <w:rPr>
          <w:rFonts w:ascii="仿宋" w:eastAsia="仿宋" w:hAnsi="仿宋"/>
          <w:sz w:val="32"/>
        </w:rPr>
      </w:pPr>
      <w:r w:rsidRPr="00344B9B">
        <w:rPr>
          <w:rFonts w:ascii="仿宋" w:eastAsia="仿宋" w:hAnsi="仿宋" w:hint="eastAsia"/>
          <w:sz w:val="32"/>
        </w:rPr>
        <w:t>【</w:t>
      </w:r>
      <w:r w:rsidR="00942B6B" w:rsidRPr="00344B9B">
        <w:rPr>
          <w:rFonts w:ascii="仿宋" w:eastAsia="仿宋" w:hAnsi="仿宋" w:hint="eastAsia"/>
          <w:sz w:val="32"/>
        </w:rPr>
        <w:t>费用和支出</w:t>
      </w:r>
      <w:r w:rsidRPr="00344B9B">
        <w:rPr>
          <w:rFonts w:ascii="仿宋" w:eastAsia="仿宋" w:hAnsi="仿宋" w:hint="eastAsia"/>
          <w:sz w:val="32"/>
        </w:rPr>
        <w:t>】</w:t>
      </w:r>
      <w:r w:rsidR="00942B6B" w:rsidRPr="00344B9B">
        <w:rPr>
          <w:rFonts w:ascii="仿宋" w:eastAsia="仿宋" w:hAnsi="仿宋" w:hint="eastAsia"/>
          <w:sz w:val="32"/>
        </w:rPr>
        <w:t>章程应列明公司</w:t>
      </w:r>
      <w:r w:rsidRPr="00344B9B">
        <w:rPr>
          <w:rFonts w:ascii="仿宋" w:eastAsia="仿宋" w:hAnsi="仿宋" w:hint="eastAsia"/>
          <w:sz w:val="32"/>
        </w:rPr>
        <w:t>承担的有关费用</w:t>
      </w:r>
      <w:r w:rsidR="008B3855" w:rsidRPr="00344B9B">
        <w:rPr>
          <w:rFonts w:ascii="仿宋" w:eastAsia="仿宋" w:hAnsi="仿宋" w:hint="eastAsia"/>
          <w:sz w:val="32"/>
        </w:rPr>
        <w:t>（包括税费）</w:t>
      </w:r>
      <w:r w:rsidRPr="00344B9B">
        <w:rPr>
          <w:rFonts w:ascii="仿宋" w:eastAsia="仿宋" w:hAnsi="仿宋" w:hint="eastAsia"/>
          <w:sz w:val="32"/>
        </w:rPr>
        <w:t>、受托管理人和托管机构报酬的标准及计提方式。</w:t>
      </w:r>
    </w:p>
    <w:p w:rsidR="00C20B86" w:rsidRDefault="004E2B69" w:rsidP="004921B4">
      <w:pPr>
        <w:pStyle w:val="11"/>
        <w:numPr>
          <w:ilvl w:val="2"/>
          <w:numId w:val="4"/>
        </w:numPr>
        <w:spacing w:before="0" w:after="0"/>
        <w:ind w:left="0" w:firstLine="640"/>
        <w:rPr>
          <w:rFonts w:ascii="仿宋" w:eastAsia="仿宋" w:hAnsi="仿宋"/>
          <w:sz w:val="32"/>
        </w:rPr>
      </w:pPr>
      <w:r w:rsidRPr="00344B9B">
        <w:rPr>
          <w:rFonts w:ascii="仿宋" w:eastAsia="仿宋" w:hAnsi="仿宋" w:hint="eastAsia"/>
          <w:sz w:val="32"/>
        </w:rPr>
        <w:t>【财务会计制度】</w:t>
      </w:r>
      <w:r w:rsidR="00C20B86" w:rsidRPr="00344B9B">
        <w:rPr>
          <w:rFonts w:ascii="仿宋" w:eastAsia="仿宋" w:hAnsi="仿宋" w:hint="eastAsia"/>
          <w:sz w:val="32"/>
        </w:rPr>
        <w:t>章程应对公司的财务会计制度作出规定，包括记账、会计年度、经会计师事务所审计的年度财务报告、公司年度投资运作基本情况及重大事件报告的编制与提交</w:t>
      </w:r>
      <w:r w:rsidR="008B3855" w:rsidRPr="00344B9B">
        <w:rPr>
          <w:rFonts w:ascii="仿宋" w:eastAsia="仿宋" w:hAnsi="仿宋" w:hint="eastAsia"/>
          <w:sz w:val="32"/>
        </w:rPr>
        <w:t>、查阅会计账簿的条件</w:t>
      </w:r>
      <w:r w:rsidR="00C20B86" w:rsidRPr="00344B9B">
        <w:rPr>
          <w:rFonts w:ascii="仿宋" w:eastAsia="仿宋" w:hAnsi="仿宋" w:hint="eastAsia"/>
          <w:sz w:val="32"/>
        </w:rPr>
        <w:t>等</w:t>
      </w:r>
      <w:r w:rsidR="008B3855" w:rsidRPr="00344B9B">
        <w:rPr>
          <w:rFonts w:ascii="仿宋" w:eastAsia="仿宋" w:hAnsi="仿宋" w:hint="eastAsia"/>
          <w:sz w:val="32"/>
        </w:rPr>
        <w:t>。</w:t>
      </w:r>
    </w:p>
    <w:p w:rsidR="00B309C0" w:rsidRDefault="004E2B69" w:rsidP="004921B4">
      <w:pPr>
        <w:pStyle w:val="11"/>
        <w:numPr>
          <w:ilvl w:val="2"/>
          <w:numId w:val="4"/>
        </w:numPr>
        <w:spacing w:before="0" w:after="0"/>
        <w:ind w:left="0" w:firstLine="640"/>
        <w:rPr>
          <w:rFonts w:ascii="仿宋" w:eastAsia="仿宋" w:hAnsi="仿宋"/>
          <w:sz w:val="32"/>
        </w:rPr>
      </w:pPr>
      <w:r w:rsidRPr="00344B9B">
        <w:rPr>
          <w:rFonts w:ascii="仿宋" w:eastAsia="仿宋" w:hAnsi="仿宋" w:hint="eastAsia"/>
          <w:sz w:val="32"/>
        </w:rPr>
        <w:t>【信息披露制度】</w:t>
      </w:r>
      <w:r w:rsidR="00B309C0" w:rsidRPr="00344B9B">
        <w:rPr>
          <w:rFonts w:ascii="仿宋" w:eastAsia="仿宋" w:hAnsi="仿宋" w:hint="eastAsia"/>
          <w:sz w:val="32"/>
        </w:rPr>
        <w:t>章程应对</w:t>
      </w:r>
      <w:r w:rsidRPr="00344B9B">
        <w:rPr>
          <w:rFonts w:ascii="仿宋" w:eastAsia="仿宋" w:hAnsi="仿宋" w:hint="eastAsia"/>
          <w:sz w:val="32"/>
        </w:rPr>
        <w:t>本公司型</w:t>
      </w:r>
      <w:r w:rsidR="00B309C0" w:rsidRPr="00344B9B">
        <w:rPr>
          <w:rFonts w:ascii="仿宋" w:eastAsia="仿宋" w:hAnsi="仿宋" w:hint="eastAsia"/>
          <w:sz w:val="32"/>
        </w:rPr>
        <w:t>基金信息披露的内容、方式、频度等内容</w:t>
      </w:r>
      <w:r w:rsidR="00B1107D" w:rsidRPr="00344B9B">
        <w:rPr>
          <w:rFonts w:ascii="仿宋" w:eastAsia="仿宋" w:hAnsi="仿宋" w:hint="eastAsia"/>
          <w:sz w:val="32"/>
        </w:rPr>
        <w:t>作出规定</w:t>
      </w:r>
      <w:r w:rsidR="00B309C0" w:rsidRPr="00344B9B">
        <w:rPr>
          <w:rFonts w:ascii="仿宋" w:eastAsia="仿宋" w:hAnsi="仿宋" w:hint="eastAsia"/>
          <w:sz w:val="32"/>
        </w:rPr>
        <w:t>。</w:t>
      </w:r>
    </w:p>
    <w:p w:rsidR="003420AD" w:rsidRDefault="003420AD" w:rsidP="004921B4">
      <w:pPr>
        <w:pStyle w:val="11"/>
        <w:numPr>
          <w:ilvl w:val="2"/>
          <w:numId w:val="4"/>
        </w:numPr>
        <w:spacing w:before="0" w:after="0"/>
        <w:ind w:left="0" w:firstLine="640"/>
        <w:rPr>
          <w:rFonts w:ascii="仿宋" w:eastAsia="仿宋" w:hAnsi="仿宋"/>
          <w:sz w:val="32"/>
        </w:rPr>
      </w:pPr>
      <w:r w:rsidRPr="00344B9B">
        <w:rPr>
          <w:rFonts w:ascii="仿宋" w:eastAsia="仿宋" w:hAnsi="仿宋" w:hint="eastAsia"/>
          <w:sz w:val="32"/>
        </w:rPr>
        <w:t>【</w:t>
      </w:r>
      <w:r w:rsidR="004E2B69" w:rsidRPr="00344B9B">
        <w:rPr>
          <w:rFonts w:ascii="仿宋" w:eastAsia="仿宋" w:hAnsi="仿宋" w:hint="eastAsia"/>
          <w:sz w:val="32"/>
        </w:rPr>
        <w:t>终止、解散及清算】</w:t>
      </w:r>
      <w:r w:rsidRPr="00344B9B">
        <w:rPr>
          <w:rFonts w:ascii="仿宋" w:eastAsia="仿宋" w:hAnsi="仿宋" w:hint="eastAsia"/>
          <w:sz w:val="32"/>
        </w:rPr>
        <w:t>章程应列明公司的终止、</w:t>
      </w:r>
      <w:r w:rsidRPr="00344B9B">
        <w:rPr>
          <w:rFonts w:ascii="仿宋" w:eastAsia="仿宋" w:hAnsi="仿宋" w:hint="eastAsia"/>
          <w:sz w:val="32"/>
        </w:rPr>
        <w:lastRenderedPageBreak/>
        <w:t>解散事由及清算程序。</w:t>
      </w:r>
    </w:p>
    <w:p w:rsidR="00B309C0" w:rsidRPr="00344B9B" w:rsidRDefault="004E2B69" w:rsidP="004921B4">
      <w:pPr>
        <w:pStyle w:val="11"/>
        <w:numPr>
          <w:ilvl w:val="2"/>
          <w:numId w:val="4"/>
        </w:numPr>
        <w:spacing w:before="0" w:after="0"/>
        <w:ind w:left="0" w:firstLine="640"/>
        <w:rPr>
          <w:rFonts w:ascii="仿宋" w:eastAsia="仿宋" w:hAnsi="仿宋"/>
          <w:sz w:val="32"/>
        </w:rPr>
      </w:pPr>
      <w:r w:rsidRPr="00344B9B">
        <w:rPr>
          <w:rFonts w:ascii="仿宋" w:eastAsia="仿宋" w:hAnsi="仿宋" w:hint="eastAsia"/>
          <w:sz w:val="32"/>
        </w:rPr>
        <w:t>【章程的修订】</w:t>
      </w:r>
      <w:r w:rsidR="00B309C0" w:rsidRPr="00344B9B">
        <w:rPr>
          <w:rFonts w:ascii="仿宋" w:eastAsia="仿宋" w:hAnsi="仿宋" w:hint="eastAsia"/>
          <w:sz w:val="32"/>
        </w:rPr>
        <w:t>章程应列明章程的修订事由及程序。</w:t>
      </w:r>
    </w:p>
    <w:p w:rsidR="00923B0A" w:rsidRDefault="00D21C31" w:rsidP="004921B4">
      <w:pPr>
        <w:pStyle w:val="11"/>
        <w:numPr>
          <w:ilvl w:val="2"/>
          <w:numId w:val="4"/>
        </w:numPr>
        <w:spacing w:before="0" w:after="0"/>
        <w:ind w:left="0" w:firstLine="640"/>
        <w:rPr>
          <w:rFonts w:ascii="仿宋" w:eastAsia="仿宋" w:hAnsi="仿宋"/>
          <w:sz w:val="32"/>
        </w:rPr>
      </w:pPr>
      <w:r w:rsidRPr="00344B9B">
        <w:rPr>
          <w:rFonts w:ascii="仿宋" w:eastAsia="仿宋" w:hAnsi="仿宋" w:hint="eastAsia"/>
          <w:sz w:val="32"/>
        </w:rPr>
        <w:t>【</w:t>
      </w:r>
      <w:r w:rsidR="00C20B86" w:rsidRPr="00344B9B">
        <w:rPr>
          <w:rFonts w:ascii="仿宋" w:eastAsia="仿宋" w:hAnsi="仿宋" w:hint="eastAsia"/>
          <w:sz w:val="32"/>
        </w:rPr>
        <w:t>一致性</w:t>
      </w:r>
      <w:r w:rsidRPr="00344B9B">
        <w:rPr>
          <w:rFonts w:ascii="仿宋" w:eastAsia="仿宋" w:hAnsi="仿宋" w:hint="eastAsia"/>
          <w:sz w:val="32"/>
        </w:rPr>
        <w:t>】</w:t>
      </w:r>
      <w:r w:rsidR="00C20B86" w:rsidRPr="00344B9B">
        <w:rPr>
          <w:rFonts w:ascii="仿宋" w:eastAsia="仿宋" w:hAnsi="仿宋" w:hint="eastAsia"/>
          <w:sz w:val="32"/>
        </w:rPr>
        <w:t>章程</w:t>
      </w:r>
      <w:r w:rsidR="004E2B69" w:rsidRPr="00344B9B">
        <w:rPr>
          <w:rFonts w:ascii="仿宋" w:eastAsia="仿宋" w:hAnsi="仿宋" w:hint="eastAsia"/>
          <w:sz w:val="32"/>
        </w:rPr>
        <w:t>应明确规定当章程的内容与股东之间的出资协议或其他文件内容相冲突的，以章程为准。若章程有多个版本且内容相冲突的，以在</w:t>
      </w:r>
      <w:r w:rsidR="001341AC">
        <w:rPr>
          <w:rFonts w:ascii="仿宋" w:eastAsia="仿宋" w:hAnsi="仿宋" w:hint="eastAsia"/>
          <w:sz w:val="32"/>
        </w:rPr>
        <w:t>中国基金业协会</w:t>
      </w:r>
      <w:r w:rsidR="004E2B69" w:rsidRPr="00344B9B">
        <w:rPr>
          <w:rFonts w:ascii="仿宋" w:eastAsia="仿宋" w:hAnsi="仿宋" w:hint="eastAsia"/>
          <w:sz w:val="32"/>
        </w:rPr>
        <w:t>备案的版本为准</w:t>
      </w:r>
      <w:r w:rsidRPr="00344B9B">
        <w:rPr>
          <w:rFonts w:ascii="仿宋" w:eastAsia="仿宋" w:hAnsi="仿宋" w:hint="eastAsia"/>
          <w:sz w:val="32"/>
        </w:rPr>
        <w:t>。</w:t>
      </w:r>
    </w:p>
    <w:p w:rsidR="00923B0A" w:rsidRPr="00923B0A" w:rsidRDefault="00923B0A" w:rsidP="004921B4">
      <w:pPr>
        <w:pStyle w:val="11"/>
        <w:numPr>
          <w:ilvl w:val="2"/>
          <w:numId w:val="4"/>
        </w:numPr>
        <w:spacing w:before="0" w:after="0"/>
        <w:ind w:left="0" w:firstLine="640"/>
        <w:rPr>
          <w:rFonts w:ascii="仿宋" w:eastAsia="仿宋" w:hAnsi="仿宋"/>
          <w:sz w:val="32"/>
        </w:rPr>
      </w:pPr>
      <w:r w:rsidRPr="00923B0A">
        <w:rPr>
          <w:rFonts w:ascii="仿宋_GB2312" w:eastAsia="仿宋_GB2312" w:hAnsi="仿宋" w:hint="eastAsia"/>
          <w:sz w:val="32"/>
          <w:szCs w:val="32"/>
        </w:rPr>
        <w:t>【份额信息备份】订明全体</w:t>
      </w:r>
      <w:r w:rsidR="000E287D">
        <w:rPr>
          <w:rFonts w:ascii="仿宋_GB2312" w:eastAsia="仿宋_GB2312" w:hAnsi="仿宋" w:hint="eastAsia"/>
          <w:sz w:val="32"/>
          <w:szCs w:val="32"/>
        </w:rPr>
        <w:t>股东</w:t>
      </w:r>
      <w:r w:rsidRPr="00923B0A">
        <w:rPr>
          <w:rFonts w:ascii="仿宋_GB2312" w:eastAsia="仿宋_GB2312" w:hAnsi="仿宋" w:hint="eastAsia"/>
          <w:sz w:val="32"/>
          <w:szCs w:val="32"/>
        </w:rPr>
        <w:t>同意私募基金管理人、份额登记机构或</w:t>
      </w:r>
      <w:r w:rsidR="000E287D">
        <w:rPr>
          <w:rFonts w:ascii="仿宋_GB2312" w:eastAsia="仿宋_GB2312" w:hAnsi="仿宋" w:hint="eastAsia"/>
          <w:sz w:val="32"/>
          <w:szCs w:val="32"/>
        </w:rPr>
        <w:t>其他份额登记义务人应当按照</w:t>
      </w:r>
      <w:r w:rsidR="001341AC">
        <w:rPr>
          <w:rFonts w:ascii="仿宋_GB2312" w:eastAsia="仿宋_GB2312" w:hAnsi="仿宋" w:hint="eastAsia"/>
          <w:sz w:val="32"/>
          <w:szCs w:val="32"/>
        </w:rPr>
        <w:t>中国基金业协会</w:t>
      </w:r>
      <w:r w:rsidR="000E287D">
        <w:rPr>
          <w:rFonts w:ascii="仿宋_GB2312" w:eastAsia="仿宋_GB2312" w:hAnsi="仿宋" w:hint="eastAsia"/>
          <w:sz w:val="32"/>
          <w:szCs w:val="32"/>
        </w:rPr>
        <w:t>的规定办理基金份额登记（公司股东</w:t>
      </w:r>
      <w:r w:rsidRPr="00923B0A">
        <w:rPr>
          <w:rFonts w:ascii="仿宋_GB2312" w:eastAsia="仿宋_GB2312" w:hAnsi="仿宋" w:hint="eastAsia"/>
          <w:sz w:val="32"/>
          <w:szCs w:val="32"/>
        </w:rPr>
        <w:t>）数据的备份</w:t>
      </w:r>
      <w:r>
        <w:rPr>
          <w:rFonts w:ascii="仿宋_GB2312" w:eastAsia="仿宋_GB2312" w:hAnsi="仿宋" w:hint="eastAsia"/>
          <w:sz w:val="32"/>
          <w:szCs w:val="32"/>
        </w:rPr>
        <w:t>。</w:t>
      </w:r>
    </w:p>
    <w:p w:rsidR="00923B0A" w:rsidRPr="00923B0A" w:rsidRDefault="000E287D" w:rsidP="004921B4">
      <w:pPr>
        <w:pStyle w:val="11"/>
        <w:numPr>
          <w:ilvl w:val="2"/>
          <w:numId w:val="4"/>
        </w:numPr>
        <w:spacing w:before="0" w:after="0"/>
        <w:ind w:left="0" w:firstLine="640"/>
        <w:rPr>
          <w:rFonts w:ascii="仿宋" w:eastAsia="仿宋" w:hAnsi="仿宋"/>
          <w:sz w:val="32"/>
        </w:rPr>
      </w:pPr>
      <w:r>
        <w:rPr>
          <w:rFonts w:ascii="仿宋_GB2312" w:eastAsia="仿宋_GB2312" w:hAnsi="仿宋" w:hint="eastAsia"/>
          <w:sz w:val="32"/>
          <w:szCs w:val="32"/>
        </w:rPr>
        <w:t>【报送披露信息】订明全体股东</w:t>
      </w:r>
      <w:r w:rsidR="00923B0A" w:rsidRPr="00923B0A">
        <w:rPr>
          <w:rFonts w:ascii="仿宋_GB2312" w:eastAsia="仿宋_GB2312" w:hAnsi="仿宋" w:hint="eastAsia"/>
          <w:sz w:val="32"/>
          <w:szCs w:val="32"/>
        </w:rPr>
        <w:t>同意私募基金管理人或其他信息披露义务人应当按照</w:t>
      </w:r>
      <w:r w:rsidR="001341AC">
        <w:rPr>
          <w:rFonts w:ascii="仿宋_GB2312" w:eastAsia="仿宋_GB2312" w:hAnsi="仿宋" w:hint="eastAsia"/>
          <w:sz w:val="32"/>
          <w:szCs w:val="32"/>
        </w:rPr>
        <w:t>中国基金业协会</w:t>
      </w:r>
      <w:r w:rsidR="00923B0A" w:rsidRPr="00923B0A">
        <w:rPr>
          <w:rFonts w:ascii="仿宋_GB2312" w:eastAsia="仿宋_GB2312" w:hAnsi="仿宋" w:hint="eastAsia"/>
          <w:sz w:val="32"/>
          <w:szCs w:val="32"/>
        </w:rPr>
        <w:t>的规定对基金信息披露信息进行备份。</w:t>
      </w:r>
    </w:p>
    <w:bookmarkEnd w:id="6"/>
    <w:p w:rsidR="00F10E03" w:rsidRPr="00D276F7" w:rsidRDefault="00F10E03" w:rsidP="00E54D1E">
      <w:pPr>
        <w:pStyle w:val="11"/>
        <w:numPr>
          <w:ilvl w:val="0"/>
          <w:numId w:val="4"/>
        </w:numPr>
        <w:tabs>
          <w:tab w:val="left" w:pos="1134"/>
          <w:tab w:val="left" w:pos="1276"/>
        </w:tabs>
        <w:spacing w:before="0" w:after="0"/>
        <w:ind w:left="0" w:firstLineChars="133" w:firstLine="426"/>
        <w:rPr>
          <w:rFonts w:ascii="仿宋" w:eastAsia="仿宋" w:hAnsi="仿宋"/>
          <w:sz w:val="32"/>
        </w:rPr>
      </w:pPr>
      <w:r w:rsidRPr="00D276F7">
        <w:rPr>
          <w:rFonts w:ascii="仿宋" w:eastAsia="仿宋" w:hAnsi="仿宋" w:hint="eastAsia"/>
          <w:sz w:val="32"/>
        </w:rPr>
        <w:t>本指引由</w:t>
      </w:r>
      <w:r w:rsidR="001341AC">
        <w:rPr>
          <w:rFonts w:ascii="仿宋" w:eastAsia="仿宋" w:hAnsi="仿宋" w:hint="eastAsia"/>
          <w:sz w:val="32"/>
        </w:rPr>
        <w:t>中国基金业协会</w:t>
      </w:r>
      <w:r w:rsidRPr="00D276F7">
        <w:rPr>
          <w:rFonts w:ascii="仿宋" w:eastAsia="仿宋" w:hAnsi="仿宋" w:hint="eastAsia"/>
          <w:sz w:val="32"/>
        </w:rPr>
        <w:t>负责解释</w:t>
      </w:r>
      <w:r w:rsidR="0039055D" w:rsidRPr="00D276F7">
        <w:rPr>
          <w:rFonts w:ascii="仿宋" w:eastAsia="仿宋" w:hAnsi="仿宋" w:hint="eastAsia"/>
          <w:sz w:val="32"/>
        </w:rPr>
        <w:t>，</w:t>
      </w:r>
      <w:r w:rsidRPr="00D276F7">
        <w:rPr>
          <w:rFonts w:ascii="仿宋" w:eastAsia="仿宋" w:hAnsi="仿宋" w:hint="eastAsia"/>
          <w:sz w:val="32"/>
        </w:rPr>
        <w:t>自201</w:t>
      </w:r>
      <w:r w:rsidR="00CF73C1">
        <w:rPr>
          <w:rFonts w:ascii="仿宋" w:eastAsia="仿宋" w:hAnsi="仿宋" w:hint="eastAsia"/>
          <w:sz w:val="32"/>
        </w:rPr>
        <w:t>6</w:t>
      </w:r>
      <w:r w:rsidRPr="00D276F7">
        <w:rPr>
          <w:rFonts w:ascii="仿宋" w:eastAsia="仿宋" w:hAnsi="仿宋" w:hint="eastAsia"/>
          <w:sz w:val="32"/>
        </w:rPr>
        <w:t>年[]月[]日起施行。</w:t>
      </w:r>
    </w:p>
    <w:p w:rsidR="00C079A8" w:rsidRPr="00344B9B" w:rsidRDefault="00C079A8" w:rsidP="00EC2A12">
      <w:pPr>
        <w:pStyle w:val="11"/>
        <w:spacing w:before="0" w:after="0"/>
        <w:ind w:left="646" w:firstLineChars="0" w:firstLine="0"/>
        <w:rPr>
          <w:rFonts w:ascii="仿宋" w:eastAsia="仿宋" w:hAnsi="仿宋"/>
          <w:sz w:val="32"/>
          <w:szCs w:val="32"/>
        </w:rPr>
      </w:pPr>
    </w:p>
    <w:bookmarkEnd w:id="3"/>
    <w:bookmarkEnd w:id="4"/>
    <w:p w:rsidR="00C079A8" w:rsidRPr="00CF73C1" w:rsidRDefault="00C079A8" w:rsidP="00EC2A12">
      <w:pPr>
        <w:pStyle w:val="11"/>
        <w:tabs>
          <w:tab w:val="left" w:pos="567"/>
        </w:tabs>
        <w:spacing w:before="0" w:after="0"/>
        <w:ind w:left="424" w:firstLineChars="0" w:firstLine="0"/>
        <w:rPr>
          <w:rFonts w:ascii="仿宋" w:eastAsia="仿宋" w:hAnsi="仿宋"/>
        </w:rPr>
      </w:pPr>
    </w:p>
    <w:sectPr w:rsidR="00C079A8" w:rsidRPr="00CF73C1">
      <w:headerReference w:type="default" r:id="rId9"/>
      <w:footerReference w:type="even" r:id="rId10"/>
      <w:footerReference w:type="default" r:id="rId11"/>
      <w:pgSz w:w="11906" w:h="16838"/>
      <w:pgMar w:top="1440" w:right="1800" w:bottom="1440" w:left="1800" w:header="720" w:footer="72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3768" w:rsidRDefault="00813768">
      <w:r>
        <w:separator/>
      </w:r>
    </w:p>
  </w:endnote>
  <w:endnote w:type="continuationSeparator" w:id="0">
    <w:p w:rsidR="00813768" w:rsidRDefault="00813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ì."/>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283F" w:rsidRDefault="005A283F">
    <w:pPr>
      <w:pStyle w:val="ad"/>
      <w:framePr w:h="0" w:wrap="around" w:vAnchor="text" w:hAnchor="margin" w:xAlign="center" w:y="1"/>
      <w:rPr>
        <w:rStyle w:val="a3"/>
      </w:rPr>
    </w:pPr>
    <w:r>
      <w:fldChar w:fldCharType="begin"/>
    </w:r>
    <w:r>
      <w:rPr>
        <w:rStyle w:val="a3"/>
      </w:rPr>
      <w:instrText xml:space="preserve">PAGE  </w:instrText>
    </w:r>
    <w:r>
      <w:fldChar w:fldCharType="end"/>
    </w:r>
  </w:p>
  <w:p w:rsidR="005A283F" w:rsidRDefault="005A283F">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283F" w:rsidRDefault="005A283F">
    <w:pPr>
      <w:pStyle w:val="ad"/>
      <w:framePr w:h="0" w:wrap="around" w:vAnchor="text" w:hAnchor="margin" w:xAlign="center" w:y="1"/>
      <w:rPr>
        <w:rStyle w:val="a3"/>
      </w:rPr>
    </w:pPr>
    <w:r>
      <w:fldChar w:fldCharType="begin"/>
    </w:r>
    <w:r>
      <w:rPr>
        <w:rStyle w:val="a3"/>
      </w:rPr>
      <w:instrText xml:space="preserve">PAGE  </w:instrText>
    </w:r>
    <w:r>
      <w:fldChar w:fldCharType="separate"/>
    </w:r>
    <w:r w:rsidR="009407F0">
      <w:rPr>
        <w:rStyle w:val="a3"/>
        <w:noProof/>
      </w:rPr>
      <w:t>1</w:t>
    </w:r>
    <w:r>
      <w:fldChar w:fldCharType="end"/>
    </w:r>
  </w:p>
  <w:p w:rsidR="005A283F" w:rsidRDefault="005A283F">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3768" w:rsidRDefault="00813768">
      <w:r>
        <w:separator/>
      </w:r>
    </w:p>
  </w:footnote>
  <w:footnote w:type="continuationSeparator" w:id="0">
    <w:p w:rsidR="00813768" w:rsidRDefault="008137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283F" w:rsidRDefault="005A283F">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lvl w:ilvl="0">
      <w:start w:val="1"/>
      <w:numFmt w:val="japaneseCounting"/>
      <w:lvlText w:val="%1、"/>
      <w:lvlJc w:val="left"/>
      <w:pPr>
        <w:tabs>
          <w:tab w:val="num" w:pos="1639"/>
        </w:tabs>
        <w:ind w:left="1639" w:hanging="930"/>
      </w:pPr>
      <w:rPr>
        <w:rFonts w:hint="default"/>
      </w:rPr>
    </w:lvl>
    <w:lvl w:ilvl="1">
      <w:start w:val="1"/>
      <w:numFmt w:val="lowerLetter"/>
      <w:lvlText w:val="%2)"/>
      <w:lvlJc w:val="left"/>
      <w:pPr>
        <w:tabs>
          <w:tab w:val="num" w:pos="4792"/>
        </w:tabs>
        <w:ind w:left="4792" w:hanging="420"/>
      </w:pPr>
    </w:lvl>
    <w:lvl w:ilvl="2">
      <w:start w:val="1"/>
      <w:numFmt w:val="lowerRoman"/>
      <w:lvlText w:val="%3."/>
      <w:lvlJc w:val="right"/>
      <w:pPr>
        <w:tabs>
          <w:tab w:val="num" w:pos="5212"/>
        </w:tabs>
        <w:ind w:left="5212" w:hanging="420"/>
      </w:pPr>
    </w:lvl>
    <w:lvl w:ilvl="3">
      <w:start w:val="1"/>
      <w:numFmt w:val="decimal"/>
      <w:lvlText w:val="%4."/>
      <w:lvlJc w:val="left"/>
      <w:pPr>
        <w:tabs>
          <w:tab w:val="num" w:pos="5632"/>
        </w:tabs>
        <w:ind w:left="5632" w:hanging="420"/>
      </w:pPr>
    </w:lvl>
    <w:lvl w:ilvl="4">
      <w:start w:val="1"/>
      <w:numFmt w:val="lowerLetter"/>
      <w:lvlText w:val="%5)"/>
      <w:lvlJc w:val="left"/>
      <w:pPr>
        <w:tabs>
          <w:tab w:val="num" w:pos="6052"/>
        </w:tabs>
        <w:ind w:left="6052" w:hanging="420"/>
      </w:pPr>
    </w:lvl>
    <w:lvl w:ilvl="5">
      <w:start w:val="1"/>
      <w:numFmt w:val="lowerRoman"/>
      <w:lvlText w:val="%6."/>
      <w:lvlJc w:val="right"/>
      <w:pPr>
        <w:tabs>
          <w:tab w:val="num" w:pos="6472"/>
        </w:tabs>
        <w:ind w:left="6472" w:hanging="420"/>
      </w:pPr>
    </w:lvl>
    <w:lvl w:ilvl="6">
      <w:start w:val="1"/>
      <w:numFmt w:val="decimal"/>
      <w:lvlText w:val="%7."/>
      <w:lvlJc w:val="left"/>
      <w:pPr>
        <w:tabs>
          <w:tab w:val="num" w:pos="6892"/>
        </w:tabs>
        <w:ind w:left="6892" w:hanging="420"/>
      </w:pPr>
    </w:lvl>
    <w:lvl w:ilvl="7">
      <w:start w:val="1"/>
      <w:numFmt w:val="lowerLetter"/>
      <w:lvlText w:val="%8)"/>
      <w:lvlJc w:val="left"/>
      <w:pPr>
        <w:tabs>
          <w:tab w:val="num" w:pos="7312"/>
        </w:tabs>
        <w:ind w:left="7312" w:hanging="420"/>
      </w:pPr>
    </w:lvl>
    <w:lvl w:ilvl="8">
      <w:start w:val="1"/>
      <w:numFmt w:val="lowerRoman"/>
      <w:lvlText w:val="%9."/>
      <w:lvlJc w:val="right"/>
      <w:pPr>
        <w:tabs>
          <w:tab w:val="num" w:pos="7732"/>
        </w:tabs>
        <w:ind w:left="7732" w:hanging="420"/>
      </w:pPr>
    </w:lvl>
  </w:abstractNum>
  <w:abstractNum w:abstractNumId="1">
    <w:nsid w:val="1D3074C6"/>
    <w:multiLevelType w:val="hybridMultilevel"/>
    <w:tmpl w:val="5FD86068"/>
    <w:lvl w:ilvl="0" w:tplc="A260E0CE">
      <w:start w:val="1"/>
      <w:numFmt w:val="chineseCountingThousand"/>
      <w:lvlText w:val="(%1)"/>
      <w:lvlJc w:val="left"/>
      <w:pPr>
        <w:ind w:left="420" w:hanging="420"/>
      </w:pPr>
      <w:rPr>
        <w:rFonts w:ascii="黑体" w:eastAsia="黑体" w:hAnsi="黑体"/>
      </w:rPr>
    </w:lvl>
    <w:lvl w:ilvl="1" w:tplc="04090019" w:tentative="1">
      <w:start w:val="1"/>
      <w:numFmt w:val="lowerLetter"/>
      <w:lvlText w:val="%2)"/>
      <w:lvlJc w:val="left"/>
      <w:pPr>
        <w:ind w:left="1686" w:hanging="420"/>
      </w:pPr>
    </w:lvl>
    <w:lvl w:ilvl="2" w:tplc="0409001B" w:tentative="1">
      <w:start w:val="1"/>
      <w:numFmt w:val="lowerRoman"/>
      <w:lvlText w:val="%3."/>
      <w:lvlJc w:val="right"/>
      <w:pPr>
        <w:ind w:left="2106" w:hanging="420"/>
      </w:pPr>
    </w:lvl>
    <w:lvl w:ilvl="3" w:tplc="0409000F" w:tentative="1">
      <w:start w:val="1"/>
      <w:numFmt w:val="decimal"/>
      <w:lvlText w:val="%4."/>
      <w:lvlJc w:val="left"/>
      <w:pPr>
        <w:ind w:left="2526" w:hanging="420"/>
      </w:pPr>
    </w:lvl>
    <w:lvl w:ilvl="4" w:tplc="04090019" w:tentative="1">
      <w:start w:val="1"/>
      <w:numFmt w:val="lowerLetter"/>
      <w:lvlText w:val="%5)"/>
      <w:lvlJc w:val="left"/>
      <w:pPr>
        <w:ind w:left="2946" w:hanging="420"/>
      </w:pPr>
    </w:lvl>
    <w:lvl w:ilvl="5" w:tplc="0409001B" w:tentative="1">
      <w:start w:val="1"/>
      <w:numFmt w:val="lowerRoman"/>
      <w:lvlText w:val="%6."/>
      <w:lvlJc w:val="right"/>
      <w:pPr>
        <w:ind w:left="3366" w:hanging="420"/>
      </w:pPr>
    </w:lvl>
    <w:lvl w:ilvl="6" w:tplc="0409000F" w:tentative="1">
      <w:start w:val="1"/>
      <w:numFmt w:val="decimal"/>
      <w:lvlText w:val="%7."/>
      <w:lvlJc w:val="left"/>
      <w:pPr>
        <w:ind w:left="3786" w:hanging="420"/>
      </w:pPr>
    </w:lvl>
    <w:lvl w:ilvl="7" w:tplc="04090019" w:tentative="1">
      <w:start w:val="1"/>
      <w:numFmt w:val="lowerLetter"/>
      <w:lvlText w:val="%8)"/>
      <w:lvlJc w:val="left"/>
      <w:pPr>
        <w:ind w:left="4206" w:hanging="420"/>
      </w:pPr>
    </w:lvl>
    <w:lvl w:ilvl="8" w:tplc="0409001B" w:tentative="1">
      <w:start w:val="1"/>
      <w:numFmt w:val="lowerRoman"/>
      <w:lvlText w:val="%9."/>
      <w:lvlJc w:val="right"/>
      <w:pPr>
        <w:ind w:left="4626" w:hanging="420"/>
      </w:pPr>
    </w:lvl>
  </w:abstractNum>
  <w:abstractNum w:abstractNumId="2">
    <w:nsid w:val="2D7F2E6B"/>
    <w:multiLevelType w:val="multilevel"/>
    <w:tmpl w:val="59BCE2F4"/>
    <w:lvl w:ilvl="0">
      <w:start w:val="1"/>
      <w:numFmt w:val="chineseCountingThousand"/>
      <w:lvlText w:val="第%1条"/>
      <w:lvlJc w:val="left"/>
      <w:pPr>
        <w:ind w:left="1839" w:hanging="420"/>
      </w:pPr>
      <w:rPr>
        <w:rFonts w:ascii="黑体" w:eastAsia="黑体" w:hAnsi="黑体" w:hint="eastAsia"/>
        <w:b w:val="0"/>
        <w:color w:val="auto"/>
        <w:sz w:val="32"/>
        <w:szCs w:val="32"/>
        <w:lang w:val="en-US"/>
      </w:rPr>
    </w:lvl>
    <w:lvl w:ilvl="1">
      <w:start w:val="1"/>
      <w:numFmt w:val="japaneseCounting"/>
      <w:lvlText w:val="（%2）"/>
      <w:lvlJc w:val="left"/>
      <w:pPr>
        <w:ind w:left="2067" w:hanging="1080"/>
      </w:pPr>
      <w:rPr>
        <w:rFonts w:hint="default"/>
        <w:u w:val="none"/>
      </w:rPr>
    </w:lvl>
    <w:lvl w:ilvl="2" w:tentative="1">
      <w:start w:val="1"/>
      <w:numFmt w:val="lowerRoman"/>
      <w:lvlText w:val="%3."/>
      <w:lvlJc w:val="right"/>
      <w:pPr>
        <w:ind w:left="1827" w:hanging="420"/>
      </w:pPr>
    </w:lvl>
    <w:lvl w:ilvl="3" w:tentative="1">
      <w:start w:val="1"/>
      <w:numFmt w:val="decimal"/>
      <w:lvlText w:val="%4."/>
      <w:lvlJc w:val="left"/>
      <w:pPr>
        <w:ind w:left="2247" w:hanging="420"/>
      </w:pPr>
    </w:lvl>
    <w:lvl w:ilvl="4" w:tentative="1">
      <w:start w:val="1"/>
      <w:numFmt w:val="lowerLetter"/>
      <w:lvlText w:val="%5)"/>
      <w:lvlJc w:val="left"/>
      <w:pPr>
        <w:ind w:left="2667" w:hanging="420"/>
      </w:pPr>
    </w:lvl>
    <w:lvl w:ilvl="5" w:tentative="1">
      <w:start w:val="1"/>
      <w:numFmt w:val="lowerRoman"/>
      <w:lvlText w:val="%6."/>
      <w:lvlJc w:val="right"/>
      <w:pPr>
        <w:ind w:left="3087" w:hanging="420"/>
      </w:pPr>
    </w:lvl>
    <w:lvl w:ilvl="6" w:tentative="1">
      <w:start w:val="1"/>
      <w:numFmt w:val="decimal"/>
      <w:lvlText w:val="%7."/>
      <w:lvlJc w:val="left"/>
      <w:pPr>
        <w:ind w:left="3507" w:hanging="420"/>
      </w:pPr>
    </w:lvl>
    <w:lvl w:ilvl="7" w:tentative="1">
      <w:start w:val="1"/>
      <w:numFmt w:val="lowerLetter"/>
      <w:lvlText w:val="%8)"/>
      <w:lvlJc w:val="left"/>
      <w:pPr>
        <w:ind w:left="3927" w:hanging="420"/>
      </w:pPr>
    </w:lvl>
    <w:lvl w:ilvl="8" w:tentative="1">
      <w:start w:val="1"/>
      <w:numFmt w:val="lowerRoman"/>
      <w:lvlText w:val="%9."/>
      <w:lvlJc w:val="right"/>
      <w:pPr>
        <w:ind w:left="4347" w:hanging="420"/>
      </w:pPr>
    </w:lvl>
  </w:abstractNum>
  <w:abstractNum w:abstractNumId="3">
    <w:nsid w:val="3CE96826"/>
    <w:multiLevelType w:val="hybridMultilevel"/>
    <w:tmpl w:val="AF8886BE"/>
    <w:lvl w:ilvl="0" w:tplc="A98E5F40">
      <w:start w:val="1"/>
      <w:numFmt w:val="japaneseCounting"/>
      <w:lvlText w:val="第%1章"/>
      <w:lvlJc w:val="left"/>
      <w:pPr>
        <w:ind w:left="1320" w:hanging="84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3F722EF1"/>
    <w:multiLevelType w:val="multilevel"/>
    <w:tmpl w:val="6B3C6390"/>
    <w:lvl w:ilvl="0">
      <w:start w:val="1"/>
      <w:numFmt w:val="japaneseCounting"/>
      <w:lvlText w:val="%1、"/>
      <w:lvlJc w:val="left"/>
      <w:pPr>
        <w:ind w:left="420" w:hanging="420"/>
      </w:pPr>
      <w:rPr>
        <w:rFonts w:ascii="黑体" w:eastAsia="黑体" w:hAnsi="宋体" w:cs="Times New Roman" w:hint="eastAsia"/>
        <w:b w:val="0"/>
        <w:color w:val="auto"/>
        <w:sz w:val="32"/>
        <w:szCs w:val="32"/>
        <w:lang w:val="en-US"/>
      </w:rPr>
    </w:lvl>
    <w:lvl w:ilvl="1">
      <w:start w:val="1"/>
      <w:numFmt w:val="japaneseCounting"/>
      <w:lvlText w:val="（%2）"/>
      <w:lvlJc w:val="left"/>
      <w:pPr>
        <w:ind w:left="648" w:hanging="1080"/>
      </w:pPr>
      <w:rPr>
        <w:rFonts w:hint="default"/>
        <w:u w:val="none"/>
      </w:rPr>
    </w:lvl>
    <w:lvl w:ilvl="2">
      <w:start w:val="1"/>
      <w:numFmt w:val="chineseCountingThousand"/>
      <w:lvlText w:val="(%3)"/>
      <w:lvlJc w:val="left"/>
      <w:pPr>
        <w:ind w:left="1267" w:hanging="1125"/>
      </w:pPr>
      <w:rPr>
        <w:rFonts w:hint="default"/>
      </w:rPr>
    </w:lvl>
    <w:lvl w:ilvl="3" w:tentative="1">
      <w:start w:val="1"/>
      <w:numFmt w:val="decimal"/>
      <w:lvlText w:val="%4."/>
      <w:lvlJc w:val="left"/>
      <w:pPr>
        <w:ind w:left="828" w:hanging="420"/>
      </w:pPr>
    </w:lvl>
    <w:lvl w:ilvl="4" w:tentative="1">
      <w:start w:val="1"/>
      <w:numFmt w:val="lowerLetter"/>
      <w:lvlText w:val="%5)"/>
      <w:lvlJc w:val="left"/>
      <w:pPr>
        <w:ind w:left="1248" w:hanging="420"/>
      </w:pPr>
    </w:lvl>
    <w:lvl w:ilvl="5" w:tentative="1">
      <w:start w:val="1"/>
      <w:numFmt w:val="lowerRoman"/>
      <w:lvlText w:val="%6."/>
      <w:lvlJc w:val="right"/>
      <w:pPr>
        <w:ind w:left="1668" w:hanging="420"/>
      </w:pPr>
    </w:lvl>
    <w:lvl w:ilvl="6" w:tentative="1">
      <w:start w:val="1"/>
      <w:numFmt w:val="decimal"/>
      <w:lvlText w:val="%7."/>
      <w:lvlJc w:val="left"/>
      <w:pPr>
        <w:ind w:left="2088" w:hanging="420"/>
      </w:pPr>
    </w:lvl>
    <w:lvl w:ilvl="7" w:tentative="1">
      <w:start w:val="1"/>
      <w:numFmt w:val="lowerLetter"/>
      <w:lvlText w:val="%8)"/>
      <w:lvlJc w:val="left"/>
      <w:pPr>
        <w:ind w:left="2508" w:hanging="420"/>
      </w:pPr>
    </w:lvl>
    <w:lvl w:ilvl="8" w:tentative="1">
      <w:start w:val="1"/>
      <w:numFmt w:val="lowerRoman"/>
      <w:lvlText w:val="%9."/>
      <w:lvlJc w:val="right"/>
      <w:pPr>
        <w:ind w:left="2928" w:hanging="420"/>
      </w:pPr>
    </w:lvl>
  </w:abstractNum>
  <w:abstractNum w:abstractNumId="5">
    <w:nsid w:val="42FE5B29"/>
    <w:multiLevelType w:val="multilevel"/>
    <w:tmpl w:val="1446008E"/>
    <w:lvl w:ilvl="0">
      <w:start w:val="1"/>
      <w:numFmt w:val="chineseCountingThousand"/>
      <w:lvlText w:val="第%1条"/>
      <w:lvlJc w:val="left"/>
      <w:pPr>
        <w:ind w:left="2547" w:hanging="420"/>
      </w:pPr>
      <w:rPr>
        <w:rFonts w:ascii="黑体" w:eastAsia="黑体" w:hAnsi="黑体" w:hint="eastAsia"/>
        <w:b w:val="0"/>
        <w:sz w:val="32"/>
        <w:szCs w:val="32"/>
        <w:lang w:val="en-US"/>
      </w:rPr>
    </w:lvl>
    <w:lvl w:ilvl="1">
      <w:start w:val="1"/>
      <w:numFmt w:val="japaneseCounting"/>
      <w:lvlText w:val="（%2）"/>
      <w:lvlJc w:val="left"/>
      <w:pPr>
        <w:ind w:left="2067" w:hanging="1080"/>
      </w:pPr>
      <w:rPr>
        <w:rFonts w:hint="default"/>
        <w:u w:val="none"/>
      </w:rPr>
    </w:lvl>
    <w:lvl w:ilvl="2" w:tentative="1">
      <w:start w:val="1"/>
      <w:numFmt w:val="lowerRoman"/>
      <w:lvlText w:val="%3."/>
      <w:lvlJc w:val="right"/>
      <w:pPr>
        <w:ind w:left="1827" w:hanging="420"/>
      </w:pPr>
    </w:lvl>
    <w:lvl w:ilvl="3" w:tentative="1">
      <w:start w:val="1"/>
      <w:numFmt w:val="decimal"/>
      <w:lvlText w:val="%4."/>
      <w:lvlJc w:val="left"/>
      <w:pPr>
        <w:ind w:left="2247" w:hanging="420"/>
      </w:pPr>
    </w:lvl>
    <w:lvl w:ilvl="4" w:tentative="1">
      <w:start w:val="1"/>
      <w:numFmt w:val="lowerLetter"/>
      <w:lvlText w:val="%5)"/>
      <w:lvlJc w:val="left"/>
      <w:pPr>
        <w:ind w:left="2667" w:hanging="420"/>
      </w:pPr>
    </w:lvl>
    <w:lvl w:ilvl="5" w:tentative="1">
      <w:start w:val="1"/>
      <w:numFmt w:val="lowerRoman"/>
      <w:lvlText w:val="%6."/>
      <w:lvlJc w:val="right"/>
      <w:pPr>
        <w:ind w:left="3087" w:hanging="420"/>
      </w:pPr>
    </w:lvl>
    <w:lvl w:ilvl="6" w:tentative="1">
      <w:start w:val="1"/>
      <w:numFmt w:val="decimal"/>
      <w:lvlText w:val="%7."/>
      <w:lvlJc w:val="left"/>
      <w:pPr>
        <w:ind w:left="3507" w:hanging="420"/>
      </w:pPr>
    </w:lvl>
    <w:lvl w:ilvl="7" w:tentative="1">
      <w:start w:val="1"/>
      <w:numFmt w:val="lowerLetter"/>
      <w:lvlText w:val="%8)"/>
      <w:lvlJc w:val="left"/>
      <w:pPr>
        <w:ind w:left="3927" w:hanging="420"/>
      </w:pPr>
    </w:lvl>
    <w:lvl w:ilvl="8" w:tentative="1">
      <w:start w:val="1"/>
      <w:numFmt w:val="lowerRoman"/>
      <w:lvlText w:val="%9."/>
      <w:lvlJc w:val="right"/>
      <w:pPr>
        <w:ind w:left="4347" w:hanging="420"/>
      </w:pPr>
    </w:lvl>
  </w:abstractNum>
  <w:abstractNum w:abstractNumId="6">
    <w:nsid w:val="5118567B"/>
    <w:multiLevelType w:val="hybridMultilevel"/>
    <w:tmpl w:val="1B0E2E90"/>
    <w:lvl w:ilvl="0" w:tplc="B54CC330">
      <w:start w:val="1"/>
      <w:numFmt w:val="decimal"/>
      <w:lvlText w:val="%1."/>
      <w:lvlJc w:val="left"/>
      <w:pPr>
        <w:ind w:left="840" w:hanging="420"/>
      </w:pPr>
      <w:rPr>
        <w:b w:val="0"/>
        <w:color w:val="auto"/>
        <w:sz w:val="28"/>
        <w:szCs w:val="28"/>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585A4082"/>
    <w:multiLevelType w:val="hybridMultilevel"/>
    <w:tmpl w:val="F28C8312"/>
    <w:lvl w:ilvl="0" w:tplc="459CFCFC">
      <w:start w:val="1"/>
      <w:numFmt w:val="japaneseCounting"/>
      <w:lvlText w:val="第%1条"/>
      <w:lvlJc w:val="left"/>
      <w:pPr>
        <w:ind w:left="2115" w:hanging="84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nsid w:val="6C443D50"/>
    <w:multiLevelType w:val="multilevel"/>
    <w:tmpl w:val="714C0674"/>
    <w:lvl w:ilvl="0">
      <w:start w:val="1"/>
      <w:numFmt w:val="chineseCountingThousand"/>
      <w:lvlText w:val="第%1条"/>
      <w:lvlJc w:val="left"/>
      <w:pPr>
        <w:ind w:left="2547" w:hanging="420"/>
      </w:pPr>
      <w:rPr>
        <w:rFonts w:ascii="黑体" w:eastAsia="黑体" w:hAnsi="黑体" w:hint="eastAsia"/>
        <w:b w:val="0"/>
        <w:sz w:val="32"/>
        <w:szCs w:val="32"/>
      </w:rPr>
    </w:lvl>
    <w:lvl w:ilvl="1">
      <w:start w:val="1"/>
      <w:numFmt w:val="japaneseCounting"/>
      <w:lvlText w:val="（%2）"/>
      <w:lvlJc w:val="left"/>
      <w:pPr>
        <w:ind w:left="2067" w:hanging="1080"/>
      </w:pPr>
      <w:rPr>
        <w:rFonts w:hint="default"/>
        <w:u w:val="none"/>
      </w:rPr>
    </w:lvl>
    <w:lvl w:ilvl="2">
      <w:start w:val="1"/>
      <w:numFmt w:val="lowerRoman"/>
      <w:lvlText w:val="%3."/>
      <w:lvlJc w:val="right"/>
      <w:pPr>
        <w:ind w:left="1827" w:hanging="420"/>
      </w:pPr>
    </w:lvl>
    <w:lvl w:ilvl="3" w:tentative="1">
      <w:start w:val="1"/>
      <w:numFmt w:val="decimal"/>
      <w:lvlText w:val="%4."/>
      <w:lvlJc w:val="left"/>
      <w:pPr>
        <w:ind w:left="2247" w:hanging="420"/>
      </w:pPr>
    </w:lvl>
    <w:lvl w:ilvl="4" w:tentative="1">
      <w:start w:val="1"/>
      <w:numFmt w:val="lowerLetter"/>
      <w:lvlText w:val="%5)"/>
      <w:lvlJc w:val="left"/>
      <w:pPr>
        <w:ind w:left="2667" w:hanging="420"/>
      </w:pPr>
    </w:lvl>
    <w:lvl w:ilvl="5" w:tentative="1">
      <w:start w:val="1"/>
      <w:numFmt w:val="lowerRoman"/>
      <w:lvlText w:val="%6."/>
      <w:lvlJc w:val="right"/>
      <w:pPr>
        <w:ind w:left="3087" w:hanging="420"/>
      </w:pPr>
    </w:lvl>
    <w:lvl w:ilvl="6" w:tentative="1">
      <w:start w:val="1"/>
      <w:numFmt w:val="decimal"/>
      <w:lvlText w:val="%7."/>
      <w:lvlJc w:val="left"/>
      <w:pPr>
        <w:ind w:left="3507" w:hanging="420"/>
      </w:pPr>
    </w:lvl>
    <w:lvl w:ilvl="7" w:tentative="1">
      <w:start w:val="1"/>
      <w:numFmt w:val="lowerLetter"/>
      <w:lvlText w:val="%8)"/>
      <w:lvlJc w:val="left"/>
      <w:pPr>
        <w:ind w:left="3927" w:hanging="420"/>
      </w:pPr>
    </w:lvl>
    <w:lvl w:ilvl="8" w:tentative="1">
      <w:start w:val="1"/>
      <w:numFmt w:val="lowerRoman"/>
      <w:lvlText w:val="%9."/>
      <w:lvlJc w:val="right"/>
      <w:pPr>
        <w:ind w:left="4347" w:hanging="420"/>
      </w:pPr>
    </w:lvl>
  </w:abstractNum>
  <w:num w:numId="1">
    <w:abstractNumId w:val="0"/>
  </w:num>
  <w:num w:numId="2">
    <w:abstractNumId w:val="3"/>
  </w:num>
  <w:num w:numId="3">
    <w:abstractNumId w:val="7"/>
  </w:num>
  <w:num w:numId="4">
    <w:abstractNumId w:val="4"/>
  </w:num>
  <w:num w:numId="5">
    <w:abstractNumId w:val="5"/>
  </w:num>
  <w:num w:numId="6">
    <w:abstractNumId w:val="2"/>
  </w:num>
  <w:num w:numId="7">
    <w:abstractNumId w:val="6"/>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5E7"/>
    <w:rsid w:val="00017D9D"/>
    <w:rsid w:val="00075943"/>
    <w:rsid w:val="000846C0"/>
    <w:rsid w:val="0008723D"/>
    <w:rsid w:val="0009201F"/>
    <w:rsid w:val="000A022C"/>
    <w:rsid w:val="000B606C"/>
    <w:rsid w:val="000B7C1C"/>
    <w:rsid w:val="000C552D"/>
    <w:rsid w:val="000E287D"/>
    <w:rsid w:val="000E6882"/>
    <w:rsid w:val="000F53BE"/>
    <w:rsid w:val="001341AC"/>
    <w:rsid w:val="00136A8B"/>
    <w:rsid w:val="00147BC3"/>
    <w:rsid w:val="00172A27"/>
    <w:rsid w:val="001929CB"/>
    <w:rsid w:val="001B074E"/>
    <w:rsid w:val="001B3B41"/>
    <w:rsid w:val="001F1916"/>
    <w:rsid w:val="00206228"/>
    <w:rsid w:val="00223411"/>
    <w:rsid w:val="00226211"/>
    <w:rsid w:val="002772E0"/>
    <w:rsid w:val="002A47C0"/>
    <w:rsid w:val="002B112B"/>
    <w:rsid w:val="002B7153"/>
    <w:rsid w:val="002D5DD0"/>
    <w:rsid w:val="00330C22"/>
    <w:rsid w:val="00333230"/>
    <w:rsid w:val="0033381B"/>
    <w:rsid w:val="003420AD"/>
    <w:rsid w:val="00344B9B"/>
    <w:rsid w:val="0039055D"/>
    <w:rsid w:val="003D4640"/>
    <w:rsid w:val="003D6247"/>
    <w:rsid w:val="003D6C07"/>
    <w:rsid w:val="003F1F92"/>
    <w:rsid w:val="003F25F6"/>
    <w:rsid w:val="003F408E"/>
    <w:rsid w:val="003F4E02"/>
    <w:rsid w:val="00403B92"/>
    <w:rsid w:val="004046B6"/>
    <w:rsid w:val="00426D31"/>
    <w:rsid w:val="00457AEA"/>
    <w:rsid w:val="004638C2"/>
    <w:rsid w:val="00477819"/>
    <w:rsid w:val="00483CD4"/>
    <w:rsid w:val="00484F65"/>
    <w:rsid w:val="004921B4"/>
    <w:rsid w:val="004A0EC9"/>
    <w:rsid w:val="004B56B5"/>
    <w:rsid w:val="004B682B"/>
    <w:rsid w:val="004C37B0"/>
    <w:rsid w:val="004D744E"/>
    <w:rsid w:val="004E07CD"/>
    <w:rsid w:val="004E2B69"/>
    <w:rsid w:val="00525834"/>
    <w:rsid w:val="0053264D"/>
    <w:rsid w:val="00537C1A"/>
    <w:rsid w:val="005A283F"/>
    <w:rsid w:val="005A67CE"/>
    <w:rsid w:val="005D552E"/>
    <w:rsid w:val="005E0A58"/>
    <w:rsid w:val="005E3461"/>
    <w:rsid w:val="006225AD"/>
    <w:rsid w:val="0065595D"/>
    <w:rsid w:val="00682D10"/>
    <w:rsid w:val="00684EB8"/>
    <w:rsid w:val="0069176D"/>
    <w:rsid w:val="006A103B"/>
    <w:rsid w:val="006D28AE"/>
    <w:rsid w:val="00707FC5"/>
    <w:rsid w:val="0071308A"/>
    <w:rsid w:val="007202CE"/>
    <w:rsid w:val="0072319F"/>
    <w:rsid w:val="007408BC"/>
    <w:rsid w:val="007467C5"/>
    <w:rsid w:val="007553C5"/>
    <w:rsid w:val="007753F6"/>
    <w:rsid w:val="007800A7"/>
    <w:rsid w:val="00794CAC"/>
    <w:rsid w:val="00796628"/>
    <w:rsid w:val="007C528B"/>
    <w:rsid w:val="007E70E7"/>
    <w:rsid w:val="008033E1"/>
    <w:rsid w:val="008134A2"/>
    <w:rsid w:val="00813768"/>
    <w:rsid w:val="00850E6D"/>
    <w:rsid w:val="0086687C"/>
    <w:rsid w:val="00880C59"/>
    <w:rsid w:val="008940EC"/>
    <w:rsid w:val="008B3855"/>
    <w:rsid w:val="008B3B61"/>
    <w:rsid w:val="008E2C6A"/>
    <w:rsid w:val="00902289"/>
    <w:rsid w:val="00923B0A"/>
    <w:rsid w:val="00927F88"/>
    <w:rsid w:val="009407F0"/>
    <w:rsid w:val="00942A22"/>
    <w:rsid w:val="00942B6B"/>
    <w:rsid w:val="00946655"/>
    <w:rsid w:val="009475D8"/>
    <w:rsid w:val="009516CE"/>
    <w:rsid w:val="009A6704"/>
    <w:rsid w:val="009D3CB3"/>
    <w:rsid w:val="009F2B0C"/>
    <w:rsid w:val="009F4752"/>
    <w:rsid w:val="009F4CD5"/>
    <w:rsid w:val="00A05DC9"/>
    <w:rsid w:val="00A06CB2"/>
    <w:rsid w:val="00A13820"/>
    <w:rsid w:val="00A15739"/>
    <w:rsid w:val="00A23B74"/>
    <w:rsid w:val="00A33C39"/>
    <w:rsid w:val="00A43F20"/>
    <w:rsid w:val="00A70526"/>
    <w:rsid w:val="00A9353E"/>
    <w:rsid w:val="00AB189D"/>
    <w:rsid w:val="00AB64E5"/>
    <w:rsid w:val="00AD479B"/>
    <w:rsid w:val="00AD5724"/>
    <w:rsid w:val="00B1107D"/>
    <w:rsid w:val="00B309C0"/>
    <w:rsid w:val="00B453DF"/>
    <w:rsid w:val="00B46B50"/>
    <w:rsid w:val="00B82183"/>
    <w:rsid w:val="00B83DD7"/>
    <w:rsid w:val="00B96FE5"/>
    <w:rsid w:val="00BB7D07"/>
    <w:rsid w:val="00BD3E0F"/>
    <w:rsid w:val="00C05654"/>
    <w:rsid w:val="00C079A8"/>
    <w:rsid w:val="00C16F8B"/>
    <w:rsid w:val="00C20B86"/>
    <w:rsid w:val="00C2186E"/>
    <w:rsid w:val="00C84E6F"/>
    <w:rsid w:val="00CC786E"/>
    <w:rsid w:val="00CF73C1"/>
    <w:rsid w:val="00D136C5"/>
    <w:rsid w:val="00D21C31"/>
    <w:rsid w:val="00D276F7"/>
    <w:rsid w:val="00D3122C"/>
    <w:rsid w:val="00D455B7"/>
    <w:rsid w:val="00D80B31"/>
    <w:rsid w:val="00D81F2D"/>
    <w:rsid w:val="00DD1258"/>
    <w:rsid w:val="00DF13A8"/>
    <w:rsid w:val="00DF3CDA"/>
    <w:rsid w:val="00E1767A"/>
    <w:rsid w:val="00E24EB6"/>
    <w:rsid w:val="00E530AB"/>
    <w:rsid w:val="00E54847"/>
    <w:rsid w:val="00E54D1E"/>
    <w:rsid w:val="00E62230"/>
    <w:rsid w:val="00E76C31"/>
    <w:rsid w:val="00E80324"/>
    <w:rsid w:val="00E82AC1"/>
    <w:rsid w:val="00E833F1"/>
    <w:rsid w:val="00EC1591"/>
    <w:rsid w:val="00EC2A12"/>
    <w:rsid w:val="00EC6A12"/>
    <w:rsid w:val="00ED1645"/>
    <w:rsid w:val="00ED3BDD"/>
    <w:rsid w:val="00ED7712"/>
    <w:rsid w:val="00EF178C"/>
    <w:rsid w:val="00F10E03"/>
    <w:rsid w:val="00F16364"/>
    <w:rsid w:val="00F176B5"/>
    <w:rsid w:val="00F2085F"/>
    <w:rsid w:val="00F43991"/>
    <w:rsid w:val="00F47037"/>
    <w:rsid w:val="00F515A0"/>
    <w:rsid w:val="00F55131"/>
    <w:rsid w:val="00F605C1"/>
    <w:rsid w:val="00F615D3"/>
    <w:rsid w:val="00FE56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qFormat/>
    <w:pPr>
      <w:keepNext/>
      <w:keepLines/>
      <w:spacing w:before="340" w:after="330"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character" w:styleId="a4">
    <w:name w:val="annotation reference"/>
    <w:uiPriority w:val="99"/>
    <w:rPr>
      <w:sz w:val="21"/>
    </w:rPr>
  </w:style>
  <w:style w:type="character" w:styleId="a5">
    <w:name w:val="Hyperlink"/>
    <w:rPr>
      <w:color w:val="0000FF"/>
      <w:u w:val="single"/>
    </w:rPr>
  </w:style>
  <w:style w:type="paragraph" w:styleId="a6">
    <w:name w:val="annotation text"/>
    <w:basedOn w:val="a"/>
    <w:link w:val="Char"/>
    <w:uiPriority w:val="99"/>
    <w:pPr>
      <w:jc w:val="left"/>
    </w:pPr>
  </w:style>
  <w:style w:type="paragraph" w:styleId="a7">
    <w:name w:val="Normal (Web)"/>
    <w:basedOn w:val="a"/>
    <w:pPr>
      <w:widowControl/>
      <w:spacing w:before="100" w:beforeAutospacing="1" w:after="100" w:afterAutospacing="1"/>
      <w:jc w:val="left"/>
    </w:pPr>
    <w:rPr>
      <w:rFonts w:ascii="宋体" w:hAnsi="宋体"/>
      <w:kern w:val="0"/>
      <w:sz w:val="24"/>
    </w:rPr>
  </w:style>
  <w:style w:type="paragraph" w:styleId="a8">
    <w:name w:val="Body Text Indent"/>
    <w:basedOn w:val="a"/>
    <w:pPr>
      <w:ind w:firstLine="720"/>
    </w:pPr>
    <w:rPr>
      <w:sz w:val="28"/>
    </w:rPr>
  </w:style>
  <w:style w:type="paragraph" w:styleId="a9">
    <w:name w:val="annotation subject"/>
    <w:basedOn w:val="a6"/>
    <w:next w:val="a6"/>
    <w:rPr>
      <w:b/>
    </w:rPr>
  </w:style>
  <w:style w:type="paragraph" w:styleId="aa">
    <w:name w:val="Plain Text"/>
    <w:basedOn w:val="a"/>
    <w:pPr>
      <w:widowControl/>
      <w:spacing w:before="100" w:beforeAutospacing="1" w:after="100" w:afterAutospacing="1"/>
      <w:jc w:val="left"/>
    </w:pPr>
    <w:rPr>
      <w:rFonts w:ascii="宋体" w:hAnsi="宋体"/>
      <w:kern w:val="0"/>
      <w:sz w:val="24"/>
    </w:rPr>
  </w:style>
  <w:style w:type="paragraph" w:styleId="ab">
    <w:name w:val="Balloon Text"/>
    <w:basedOn w:val="a"/>
    <w:rPr>
      <w:sz w:val="18"/>
    </w:rPr>
  </w:style>
  <w:style w:type="paragraph" w:styleId="ac">
    <w:name w:val="header"/>
    <w:basedOn w:val="a"/>
    <w:pPr>
      <w:pBdr>
        <w:bottom w:val="single" w:sz="6" w:space="1" w:color="auto"/>
      </w:pBdr>
      <w:tabs>
        <w:tab w:val="center" w:pos="4153"/>
        <w:tab w:val="right" w:pos="8306"/>
      </w:tabs>
      <w:snapToGrid w:val="0"/>
      <w:jc w:val="center"/>
    </w:pPr>
    <w:rPr>
      <w:sz w:val="18"/>
    </w:rPr>
  </w:style>
  <w:style w:type="paragraph" w:styleId="10">
    <w:name w:val="toc 1"/>
    <w:basedOn w:val="a"/>
    <w:next w:val="a"/>
  </w:style>
  <w:style w:type="paragraph" w:styleId="ad">
    <w:name w:val="footer"/>
    <w:basedOn w:val="a"/>
    <w:pPr>
      <w:tabs>
        <w:tab w:val="center" w:pos="4153"/>
        <w:tab w:val="right" w:pos="8306"/>
      </w:tabs>
      <w:snapToGrid w:val="0"/>
      <w:jc w:val="left"/>
    </w:pPr>
    <w:rPr>
      <w:sz w:val="18"/>
    </w:rPr>
  </w:style>
  <w:style w:type="paragraph" w:customStyle="1" w:styleId="Char0">
    <w:name w:val="Char"/>
    <w:basedOn w:val="a"/>
    <w:pPr>
      <w:widowControl/>
      <w:spacing w:after="160" w:line="240" w:lineRule="exact"/>
    </w:pPr>
    <w:rPr>
      <w:kern w:val="0"/>
      <w:sz w:val="22"/>
      <w:lang w:eastAsia="en-US"/>
    </w:rPr>
  </w:style>
  <w:style w:type="paragraph" w:styleId="ae">
    <w:name w:val="Normal Indent"/>
    <w:basedOn w:val="a"/>
    <w:pPr>
      <w:spacing w:line="360" w:lineRule="auto"/>
      <w:ind w:firstLineChars="200" w:firstLine="480"/>
    </w:pPr>
    <w:rPr>
      <w:rFonts w:ascii="宋体" w:hAnsi="宋体"/>
      <w:sz w:val="24"/>
    </w:rPr>
  </w:style>
  <w:style w:type="paragraph" w:styleId="af">
    <w:name w:val="List Paragraph"/>
    <w:basedOn w:val="a"/>
    <w:uiPriority w:val="34"/>
    <w:qFormat/>
    <w:rsid w:val="009475D8"/>
    <w:pPr>
      <w:ind w:firstLineChars="200" w:firstLine="420"/>
    </w:pPr>
  </w:style>
  <w:style w:type="paragraph" w:customStyle="1" w:styleId="11">
    <w:name w:val="列出段落1"/>
    <w:basedOn w:val="a"/>
    <w:qFormat/>
    <w:rsid w:val="00F10E03"/>
    <w:pPr>
      <w:spacing w:before="120" w:after="120"/>
      <w:ind w:firstLineChars="200" w:firstLine="420"/>
    </w:pPr>
    <w:rPr>
      <w:rFonts w:ascii="Calibri" w:hAnsi="Calibri"/>
    </w:rPr>
  </w:style>
  <w:style w:type="character" w:customStyle="1" w:styleId="Char">
    <w:name w:val="批注文字 Char"/>
    <w:link w:val="a6"/>
    <w:uiPriority w:val="99"/>
    <w:rsid w:val="00F10E03"/>
    <w:rPr>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qFormat/>
    <w:pPr>
      <w:keepNext/>
      <w:keepLines/>
      <w:spacing w:before="340" w:after="330"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character" w:styleId="a4">
    <w:name w:val="annotation reference"/>
    <w:uiPriority w:val="99"/>
    <w:rPr>
      <w:sz w:val="21"/>
    </w:rPr>
  </w:style>
  <w:style w:type="character" w:styleId="a5">
    <w:name w:val="Hyperlink"/>
    <w:rPr>
      <w:color w:val="0000FF"/>
      <w:u w:val="single"/>
    </w:rPr>
  </w:style>
  <w:style w:type="paragraph" w:styleId="a6">
    <w:name w:val="annotation text"/>
    <w:basedOn w:val="a"/>
    <w:link w:val="Char"/>
    <w:uiPriority w:val="99"/>
    <w:pPr>
      <w:jc w:val="left"/>
    </w:pPr>
  </w:style>
  <w:style w:type="paragraph" w:styleId="a7">
    <w:name w:val="Normal (Web)"/>
    <w:basedOn w:val="a"/>
    <w:pPr>
      <w:widowControl/>
      <w:spacing w:before="100" w:beforeAutospacing="1" w:after="100" w:afterAutospacing="1"/>
      <w:jc w:val="left"/>
    </w:pPr>
    <w:rPr>
      <w:rFonts w:ascii="宋体" w:hAnsi="宋体"/>
      <w:kern w:val="0"/>
      <w:sz w:val="24"/>
    </w:rPr>
  </w:style>
  <w:style w:type="paragraph" w:styleId="a8">
    <w:name w:val="Body Text Indent"/>
    <w:basedOn w:val="a"/>
    <w:pPr>
      <w:ind w:firstLine="720"/>
    </w:pPr>
    <w:rPr>
      <w:sz w:val="28"/>
    </w:rPr>
  </w:style>
  <w:style w:type="paragraph" w:styleId="a9">
    <w:name w:val="annotation subject"/>
    <w:basedOn w:val="a6"/>
    <w:next w:val="a6"/>
    <w:rPr>
      <w:b/>
    </w:rPr>
  </w:style>
  <w:style w:type="paragraph" w:styleId="aa">
    <w:name w:val="Plain Text"/>
    <w:basedOn w:val="a"/>
    <w:pPr>
      <w:widowControl/>
      <w:spacing w:before="100" w:beforeAutospacing="1" w:after="100" w:afterAutospacing="1"/>
      <w:jc w:val="left"/>
    </w:pPr>
    <w:rPr>
      <w:rFonts w:ascii="宋体" w:hAnsi="宋体"/>
      <w:kern w:val="0"/>
      <w:sz w:val="24"/>
    </w:rPr>
  </w:style>
  <w:style w:type="paragraph" w:styleId="ab">
    <w:name w:val="Balloon Text"/>
    <w:basedOn w:val="a"/>
    <w:rPr>
      <w:sz w:val="18"/>
    </w:rPr>
  </w:style>
  <w:style w:type="paragraph" w:styleId="ac">
    <w:name w:val="header"/>
    <w:basedOn w:val="a"/>
    <w:pPr>
      <w:pBdr>
        <w:bottom w:val="single" w:sz="6" w:space="1" w:color="auto"/>
      </w:pBdr>
      <w:tabs>
        <w:tab w:val="center" w:pos="4153"/>
        <w:tab w:val="right" w:pos="8306"/>
      </w:tabs>
      <w:snapToGrid w:val="0"/>
      <w:jc w:val="center"/>
    </w:pPr>
    <w:rPr>
      <w:sz w:val="18"/>
    </w:rPr>
  </w:style>
  <w:style w:type="paragraph" w:styleId="10">
    <w:name w:val="toc 1"/>
    <w:basedOn w:val="a"/>
    <w:next w:val="a"/>
  </w:style>
  <w:style w:type="paragraph" w:styleId="ad">
    <w:name w:val="footer"/>
    <w:basedOn w:val="a"/>
    <w:pPr>
      <w:tabs>
        <w:tab w:val="center" w:pos="4153"/>
        <w:tab w:val="right" w:pos="8306"/>
      </w:tabs>
      <w:snapToGrid w:val="0"/>
      <w:jc w:val="left"/>
    </w:pPr>
    <w:rPr>
      <w:sz w:val="18"/>
    </w:rPr>
  </w:style>
  <w:style w:type="paragraph" w:customStyle="1" w:styleId="Char0">
    <w:name w:val="Char"/>
    <w:basedOn w:val="a"/>
    <w:pPr>
      <w:widowControl/>
      <w:spacing w:after="160" w:line="240" w:lineRule="exact"/>
    </w:pPr>
    <w:rPr>
      <w:kern w:val="0"/>
      <w:sz w:val="22"/>
      <w:lang w:eastAsia="en-US"/>
    </w:rPr>
  </w:style>
  <w:style w:type="paragraph" w:styleId="ae">
    <w:name w:val="Normal Indent"/>
    <w:basedOn w:val="a"/>
    <w:pPr>
      <w:spacing w:line="360" w:lineRule="auto"/>
      <w:ind w:firstLineChars="200" w:firstLine="480"/>
    </w:pPr>
    <w:rPr>
      <w:rFonts w:ascii="宋体" w:hAnsi="宋体"/>
      <w:sz w:val="24"/>
    </w:rPr>
  </w:style>
  <w:style w:type="paragraph" w:styleId="af">
    <w:name w:val="List Paragraph"/>
    <w:basedOn w:val="a"/>
    <w:uiPriority w:val="34"/>
    <w:qFormat/>
    <w:rsid w:val="009475D8"/>
    <w:pPr>
      <w:ind w:firstLineChars="200" w:firstLine="420"/>
    </w:pPr>
  </w:style>
  <w:style w:type="paragraph" w:customStyle="1" w:styleId="11">
    <w:name w:val="列出段落1"/>
    <w:basedOn w:val="a"/>
    <w:qFormat/>
    <w:rsid w:val="00F10E03"/>
    <w:pPr>
      <w:spacing w:before="120" w:after="120"/>
      <w:ind w:firstLineChars="200" w:firstLine="420"/>
    </w:pPr>
    <w:rPr>
      <w:rFonts w:ascii="Calibri" w:hAnsi="Calibri"/>
    </w:rPr>
  </w:style>
  <w:style w:type="character" w:customStyle="1" w:styleId="Char">
    <w:name w:val="批注文字 Char"/>
    <w:link w:val="a6"/>
    <w:uiPriority w:val="99"/>
    <w:rsid w:val="00F10E03"/>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EFE4EC-D51C-4CCC-B372-E0A9F680B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2198</Words>
  <Characters>-34</Characters>
  <Application>Microsoft Office Word</Application>
  <DocSecurity>0</DocSecurity>
  <PresentationFormat/>
  <Lines>1</Lines>
  <Paragraphs>4</Paragraphs>
  <Slides>0</Slides>
  <Notes>0</Notes>
  <HiddenSlides>0</HiddenSlides>
  <MMClips>0</MMClips>
  <ScaleCrop>false</ScaleCrop>
  <Company>deheng</Company>
  <LinksUpToDate>false</LinksUpToDate>
  <CharactersWithSpaces>2160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股权投资基金文件指引第9号</dc:title>
  <dc:creator>dxl</dc:creator>
  <cp:lastModifiedBy>毛建宇:返回拟稿人</cp:lastModifiedBy>
  <cp:revision>9</cp:revision>
  <cp:lastPrinted>2015-11-11T01:30:00Z</cp:lastPrinted>
  <dcterms:created xsi:type="dcterms:W3CDTF">2015-11-30T09:42:00Z</dcterms:created>
  <dcterms:modified xsi:type="dcterms:W3CDTF">2015-12-16T10:41:00Z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2052-6.5.0.1966</vt:lpwstr>
  </property>
</Properties>
</file>